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97" w:rsidRDefault="00831197" w:rsidP="00831197">
      <w:pPr>
        <w:suppressAutoHyphens/>
        <w:ind w:right="-143"/>
        <w:rPr>
          <w:i/>
          <w:szCs w:val="20"/>
          <w:lang w:eastAsia="ar-SA"/>
        </w:rPr>
      </w:pPr>
    </w:p>
    <w:p w:rsidR="00831197" w:rsidRDefault="00831197" w:rsidP="00831197">
      <w:pPr>
        <w:suppressAutoHyphens/>
        <w:ind w:right="-568"/>
        <w:rPr>
          <w:i/>
          <w:szCs w:val="20"/>
          <w:lang w:eastAsia="ar-SA"/>
        </w:rPr>
      </w:pPr>
    </w:p>
    <w:p w:rsidR="00831197" w:rsidRDefault="00831197" w:rsidP="0083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i/>
          <w:lang w:eastAsia="ar-SA"/>
        </w:rPr>
      </w:pPr>
      <w:r>
        <w:rPr>
          <w:b/>
          <w:i/>
          <w:lang w:eastAsia="ar-SA"/>
        </w:rPr>
        <w:t>Ordine dei Medici Chirurghi e degli Odontoiatri</w:t>
      </w:r>
    </w:p>
    <w:p w:rsidR="00831197" w:rsidRDefault="00831197" w:rsidP="0083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lang w:eastAsia="ar-SA"/>
        </w:rPr>
      </w:pPr>
      <w:proofErr w:type="gramStart"/>
      <w:r>
        <w:rPr>
          <w:b/>
          <w:i/>
          <w:lang w:eastAsia="ar-SA"/>
        </w:rPr>
        <w:t>della</w:t>
      </w:r>
      <w:proofErr w:type="gramEnd"/>
      <w:r>
        <w:rPr>
          <w:b/>
          <w:i/>
          <w:lang w:eastAsia="ar-SA"/>
        </w:rPr>
        <w:t xml:space="preserve"> Provincia di Ascoli Piceno</w:t>
      </w:r>
    </w:p>
    <w:p w:rsidR="00831197" w:rsidRDefault="00831197" w:rsidP="00831197">
      <w:pPr>
        <w:suppressAutoHyphens/>
        <w:ind w:right="-54"/>
        <w:jc w:val="center"/>
        <w:rPr>
          <w:b/>
          <w:lang w:eastAsia="ar-SA"/>
        </w:rPr>
      </w:pPr>
    </w:p>
    <w:p w:rsidR="00831197" w:rsidRDefault="00831197" w:rsidP="00831197">
      <w:pPr>
        <w:suppressAutoHyphens/>
        <w:ind w:right="-54"/>
        <w:jc w:val="center"/>
        <w:rPr>
          <w:b/>
          <w:lang w:eastAsia="ar-SA"/>
        </w:rPr>
      </w:pPr>
      <w:r>
        <w:rPr>
          <w:b/>
          <w:lang w:eastAsia="ar-SA"/>
        </w:rPr>
        <w:t xml:space="preserve">Decisioni della riunione del Consiglio Direttivo del </w:t>
      </w:r>
      <w:r w:rsidR="004A00C5">
        <w:rPr>
          <w:b/>
          <w:lang w:eastAsia="ar-SA"/>
        </w:rPr>
        <w:t>24/09/2012</w:t>
      </w:r>
    </w:p>
    <w:p w:rsidR="00831197" w:rsidRDefault="00831197" w:rsidP="00831197">
      <w:pPr>
        <w:suppressAutoHyphens/>
        <w:ind w:right="-54"/>
        <w:jc w:val="both"/>
        <w:rPr>
          <w:lang w:eastAsia="ar-SA"/>
        </w:rPr>
      </w:pPr>
    </w:p>
    <w:p w:rsidR="00831197" w:rsidRDefault="00831197" w:rsidP="00831197">
      <w:pPr>
        <w:outlineLvl w:val="0"/>
      </w:pPr>
    </w:p>
    <w:p w:rsidR="00831197" w:rsidRDefault="00831197" w:rsidP="00831197">
      <w:pPr>
        <w:numPr>
          <w:ilvl w:val="0"/>
          <w:numId w:val="2"/>
        </w:numPr>
        <w:tabs>
          <w:tab w:val="left" w:pos="142"/>
        </w:tabs>
        <w:suppressAutoHyphens/>
        <w:spacing w:after="160" w:line="252" w:lineRule="auto"/>
        <w:ind w:right="-143"/>
        <w:contextualSpacing/>
        <w:jc w:val="both"/>
        <w:rPr>
          <w:szCs w:val="20"/>
        </w:rPr>
      </w:pPr>
      <w:r>
        <w:rPr>
          <w:b/>
          <w:szCs w:val="20"/>
        </w:rPr>
        <w:t>Variazioni albo professionale.</w:t>
      </w:r>
    </w:p>
    <w:p w:rsidR="004A00C5" w:rsidRPr="004A00C5" w:rsidRDefault="004A00C5" w:rsidP="004A00C5">
      <w:pPr>
        <w:pStyle w:val="Titolo2"/>
        <w:ind w:left="426" w:right="-442"/>
        <w:rPr>
          <w:b w:val="0"/>
          <w:sz w:val="24"/>
          <w:szCs w:val="24"/>
        </w:rPr>
      </w:pPr>
      <w:proofErr w:type="gramStart"/>
      <w:r w:rsidRPr="004A00C5">
        <w:rPr>
          <w:b w:val="0"/>
          <w:sz w:val="24"/>
          <w:szCs w:val="24"/>
        </w:rPr>
        <w:t>il</w:t>
      </w:r>
      <w:proofErr w:type="gramEnd"/>
      <w:r w:rsidRPr="004A00C5">
        <w:rPr>
          <w:b w:val="0"/>
          <w:sz w:val="24"/>
          <w:szCs w:val="24"/>
        </w:rPr>
        <w:t xml:space="preserve"> Consiglio Delibera</w:t>
      </w:r>
      <w:r>
        <w:rPr>
          <w:b w:val="0"/>
          <w:sz w:val="24"/>
          <w:szCs w:val="24"/>
        </w:rPr>
        <w:t xml:space="preserve"> </w:t>
      </w:r>
      <w:r w:rsidRPr="004A00C5">
        <w:rPr>
          <w:b w:val="0"/>
          <w:sz w:val="24"/>
          <w:szCs w:val="24"/>
        </w:rPr>
        <w:t>la cancellazione dall'Albo dei Medici Chirurghi di:</w:t>
      </w:r>
    </w:p>
    <w:p w:rsidR="004A00C5" w:rsidRPr="004A00C5" w:rsidRDefault="004A00C5" w:rsidP="004A00C5">
      <w:pPr>
        <w:ind w:left="426"/>
      </w:pPr>
      <w:r w:rsidRPr="004A00C5">
        <w:tab/>
        <w:t>Dott.ssa Denise De Angelis</w:t>
      </w:r>
      <w:r w:rsidRPr="004A00C5">
        <w:tab/>
      </w:r>
      <w:r w:rsidRPr="004A00C5">
        <w:tab/>
        <w:t xml:space="preserve">           </w:t>
      </w:r>
    </w:p>
    <w:p w:rsidR="004A00C5" w:rsidRPr="004A00C5" w:rsidRDefault="004A00C5" w:rsidP="004A00C5">
      <w:pPr>
        <w:ind w:left="426"/>
      </w:pPr>
      <w:r w:rsidRPr="004A00C5">
        <w:tab/>
        <w:t>Dott. Paolo Bastiani</w:t>
      </w:r>
      <w:r w:rsidRPr="004A00C5">
        <w:tab/>
      </w:r>
      <w:r w:rsidRPr="004A00C5">
        <w:tab/>
      </w:r>
      <w:r w:rsidRPr="004A00C5">
        <w:tab/>
        <w:t xml:space="preserve">           </w:t>
      </w:r>
    </w:p>
    <w:p w:rsidR="00831197" w:rsidRPr="004A00C5" w:rsidRDefault="00831197" w:rsidP="004A00C5">
      <w:pPr>
        <w:pStyle w:val="Paragrafoelenco"/>
        <w:ind w:left="786"/>
      </w:pPr>
      <w:r w:rsidRPr="004A00C5">
        <w:tab/>
      </w:r>
      <w:r w:rsidRPr="004A00C5">
        <w:tab/>
      </w:r>
    </w:p>
    <w:p w:rsidR="00831197" w:rsidRDefault="00831197" w:rsidP="00831197">
      <w:pPr>
        <w:pStyle w:val="Paragrafoelenco"/>
        <w:ind w:left="786"/>
      </w:pPr>
      <w:r>
        <w:tab/>
      </w:r>
    </w:p>
    <w:p w:rsidR="00831197" w:rsidRDefault="00831197" w:rsidP="00831197">
      <w:pPr>
        <w:pStyle w:val="Titolo2"/>
        <w:ind w:right="-54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il</w:t>
      </w:r>
      <w:proofErr w:type="gramEnd"/>
      <w:r>
        <w:rPr>
          <w:b w:val="0"/>
          <w:sz w:val="24"/>
          <w:szCs w:val="24"/>
        </w:rPr>
        <w:t xml:space="preserve"> Consiglio Delibera l’iscrizione all’Albo dei Medici Chirurghi di: </w:t>
      </w:r>
      <w:r>
        <w:rPr>
          <w:b w:val="0"/>
          <w:sz w:val="24"/>
          <w:szCs w:val="24"/>
        </w:rPr>
        <w:tab/>
      </w:r>
    </w:p>
    <w:p w:rsidR="00831197" w:rsidRDefault="004A00C5" w:rsidP="004A00C5">
      <w:pPr>
        <w:pStyle w:val="Titolo2"/>
        <w:ind w:right="-54"/>
      </w:pPr>
      <w:r>
        <w:rPr>
          <w:b w:val="0"/>
          <w:sz w:val="24"/>
          <w:szCs w:val="24"/>
        </w:rPr>
        <w:t xml:space="preserve">               Dott.ssa Giorgia Vitale</w:t>
      </w:r>
    </w:p>
    <w:p w:rsidR="00831197" w:rsidRDefault="00831197" w:rsidP="00831197">
      <w:pPr>
        <w:ind w:left="2136"/>
      </w:pPr>
    </w:p>
    <w:p w:rsidR="00831197" w:rsidRDefault="00831197" w:rsidP="00831197">
      <w:pPr>
        <w:ind w:left="2136"/>
      </w:pPr>
    </w:p>
    <w:p w:rsidR="00831197" w:rsidRDefault="00831197" w:rsidP="00831197">
      <w:pPr>
        <w:pStyle w:val="Titolo2"/>
        <w:numPr>
          <w:ilvl w:val="0"/>
          <w:numId w:val="3"/>
        </w:numPr>
        <w:ind w:right="-442"/>
      </w:pPr>
      <w:r>
        <w:t xml:space="preserve">Storni e delibere economiche. </w:t>
      </w:r>
    </w:p>
    <w:p w:rsidR="00831197" w:rsidRDefault="00831197" w:rsidP="00831197">
      <w:pPr>
        <w:tabs>
          <w:tab w:val="num" w:pos="360"/>
        </w:tabs>
        <w:ind w:left="360" w:right="-54" w:hanging="360"/>
        <w:jc w:val="both"/>
        <w:rPr>
          <w:b/>
        </w:rPr>
      </w:pPr>
      <w:r>
        <w:rPr>
          <w:b/>
        </w:rPr>
        <w:tab/>
        <w:t>Il Consiglio prende atto di quanto segue</w:t>
      </w:r>
    </w:p>
    <w:p w:rsidR="004A00C5" w:rsidRPr="002C04B8" w:rsidRDefault="004A00C5" w:rsidP="004A00C5">
      <w:pPr>
        <w:jc w:val="both"/>
        <w:outlineLvl w:val="0"/>
        <w:rPr>
          <w:b/>
        </w:rPr>
      </w:pPr>
    </w:p>
    <w:p w:rsidR="004A00C5" w:rsidRDefault="004A00C5" w:rsidP="004A00C5">
      <w:pPr>
        <w:jc w:val="both"/>
        <w:outlineLvl w:val="0"/>
      </w:pPr>
      <w:r>
        <w:t xml:space="preserve">Avvenuto pagamento della fattura di Impresa Edile </w:t>
      </w:r>
      <w:proofErr w:type="spellStart"/>
      <w:r>
        <w:t>Vellei</w:t>
      </w:r>
      <w:proofErr w:type="spellEnd"/>
      <w:r>
        <w:t xml:space="preserve"> Emidio relativa al saldo per materiali e manodopera relativa ai lavori di realizzazione impianto audio-video sala </w:t>
      </w:r>
      <w:proofErr w:type="gramStart"/>
      <w:r>
        <w:t>conferenza,  €</w:t>
      </w:r>
      <w:proofErr w:type="gramEnd"/>
      <w:r>
        <w:t xml:space="preserve"> 15.203,71.</w:t>
      </w:r>
    </w:p>
    <w:p w:rsidR="004A00C5" w:rsidRDefault="004A00C5" w:rsidP="004A00C5">
      <w:pPr>
        <w:jc w:val="both"/>
        <w:outlineLvl w:val="0"/>
      </w:pPr>
    </w:p>
    <w:p w:rsidR="004A00C5" w:rsidRDefault="004A00C5" w:rsidP="004A00C5">
      <w:pPr>
        <w:jc w:val="both"/>
        <w:outlineLvl w:val="0"/>
      </w:pPr>
      <w:r>
        <w:t xml:space="preserve">Avvenuto pagamento della fattura di Impresa Edile </w:t>
      </w:r>
      <w:proofErr w:type="spellStart"/>
      <w:r>
        <w:t>Vellei</w:t>
      </w:r>
      <w:proofErr w:type="spellEnd"/>
      <w:r>
        <w:t xml:space="preserve"> Emidio relativa a saldo per materiali </w:t>
      </w:r>
      <w:proofErr w:type="gramStart"/>
      <w:r>
        <w:t>e  lavori</w:t>
      </w:r>
      <w:proofErr w:type="gramEnd"/>
      <w:r>
        <w:t xml:space="preserve"> edili per rivestimento in cristallo smaltato della parete disimpegno sala-conferenze etc., € 7.700,00.</w:t>
      </w:r>
    </w:p>
    <w:p w:rsidR="00F2189F" w:rsidRDefault="00F2189F" w:rsidP="004A00C5">
      <w:pPr>
        <w:jc w:val="both"/>
        <w:outlineLvl w:val="0"/>
      </w:pPr>
    </w:p>
    <w:p w:rsidR="00F2189F" w:rsidRDefault="00F2189F" w:rsidP="00F2189F">
      <w:pPr>
        <w:pStyle w:val="Corpodeltesto2"/>
        <w:numPr>
          <w:ilvl w:val="0"/>
          <w:numId w:val="10"/>
        </w:numPr>
        <w:tabs>
          <w:tab w:val="left" w:pos="142"/>
        </w:tabs>
        <w:ind w:right="-143"/>
        <w:jc w:val="both"/>
        <w:rPr>
          <w:b/>
          <w:i w:val="0"/>
        </w:rPr>
      </w:pPr>
      <w:r>
        <w:rPr>
          <w:b/>
          <w:i w:val="0"/>
        </w:rPr>
        <w:t>Convegni: richieste di patrocinio e contributo.</w:t>
      </w:r>
    </w:p>
    <w:p w:rsidR="00F2189F" w:rsidRDefault="00F2189F" w:rsidP="00F2189F">
      <w:pPr>
        <w:ind w:left="360"/>
        <w:jc w:val="both"/>
      </w:pPr>
      <w:r>
        <w:rPr>
          <w:b/>
          <w:i/>
        </w:rPr>
        <w:tab/>
      </w:r>
      <w:r w:rsidRPr="008547AB">
        <w:rPr>
          <w:b/>
        </w:rPr>
        <w:t>Il Consiglio prende</w:t>
      </w:r>
      <w:r>
        <w:t xml:space="preserve"> </w:t>
      </w:r>
      <w:r w:rsidRPr="00113663">
        <w:rPr>
          <w:b/>
        </w:rPr>
        <w:t>atto</w:t>
      </w:r>
      <w:r>
        <w:t xml:space="preserve"> della concessione del patrocinio richiesto dal dott. S O per il convegno “Centralità della persona: Etica e Politica a confronto” che si terrà il giorno 05/10/2012 presso l’Auditorium Fondazione </w:t>
      </w:r>
      <w:proofErr w:type="spellStart"/>
      <w:r>
        <w:t>Carisap</w:t>
      </w:r>
      <w:proofErr w:type="spellEnd"/>
      <w:r>
        <w:t>.</w:t>
      </w:r>
    </w:p>
    <w:p w:rsidR="00F2189F" w:rsidRDefault="00F2189F" w:rsidP="00F2189F">
      <w:pPr>
        <w:ind w:left="360"/>
        <w:jc w:val="both"/>
      </w:pPr>
    </w:p>
    <w:p w:rsidR="00D66125" w:rsidRDefault="00D66125" w:rsidP="00D66125">
      <w:pPr>
        <w:ind w:left="360"/>
        <w:jc w:val="both"/>
        <w:rPr>
          <w:b/>
          <w:i/>
        </w:rPr>
      </w:pPr>
      <w:r>
        <w:rPr>
          <w:b/>
        </w:rPr>
        <w:t xml:space="preserve">Il Consiglio </w:t>
      </w:r>
      <w:r w:rsidRPr="00113663">
        <w:rPr>
          <w:b/>
        </w:rPr>
        <w:t>delibera</w:t>
      </w:r>
      <w:r w:rsidRPr="008547AB">
        <w:t xml:space="preserve"> di concedere il patrocinio</w:t>
      </w:r>
      <w:r>
        <w:t xml:space="preserve"> all’ASUR Marche n. 5 per il convegno “La relazione di aiuto nel percorso riabilitativo” che si terrà il 20/10/2012 a San Benedetto del Tronto. </w:t>
      </w:r>
    </w:p>
    <w:p w:rsidR="00D66125" w:rsidRDefault="00D66125" w:rsidP="00D66125">
      <w:pPr>
        <w:ind w:left="360"/>
        <w:jc w:val="both"/>
      </w:pPr>
      <w:r>
        <w:tab/>
      </w:r>
      <w:r>
        <w:tab/>
      </w:r>
    </w:p>
    <w:p w:rsidR="00D66125" w:rsidRPr="008275E6" w:rsidRDefault="00D66125" w:rsidP="00D66125">
      <w:pPr>
        <w:pStyle w:val="Corpodeltesto2"/>
        <w:numPr>
          <w:ilvl w:val="0"/>
          <w:numId w:val="11"/>
        </w:numPr>
        <w:tabs>
          <w:tab w:val="left" w:pos="142"/>
        </w:tabs>
        <w:ind w:right="-143"/>
        <w:jc w:val="both"/>
        <w:rPr>
          <w:b/>
          <w:i w:val="0"/>
        </w:rPr>
      </w:pPr>
      <w:r w:rsidRPr="008275E6">
        <w:rPr>
          <w:b/>
          <w:i w:val="0"/>
        </w:rPr>
        <w:t xml:space="preserve">Pubblicità sanitaria: DPR n. 137 del 07/08/2012. </w:t>
      </w:r>
      <w:r w:rsidRPr="008275E6">
        <w:rPr>
          <w:b/>
          <w:i w:val="0"/>
        </w:rPr>
        <w:tab/>
      </w:r>
      <w:r w:rsidRPr="008275E6">
        <w:rPr>
          <w:b/>
          <w:i w:val="0"/>
        </w:rPr>
        <w:tab/>
      </w:r>
    </w:p>
    <w:p w:rsidR="00D66125" w:rsidRDefault="00D66125" w:rsidP="00D66125">
      <w:pPr>
        <w:jc w:val="both"/>
      </w:pPr>
      <w:r>
        <w:t xml:space="preserve">Il Consiglio Direttivo, fatte le seguenti premesse: </w:t>
      </w:r>
    </w:p>
    <w:p w:rsidR="00D66125" w:rsidRDefault="00D66125" w:rsidP="00D66125">
      <w:pPr>
        <w:jc w:val="both"/>
      </w:pPr>
      <w:r>
        <w:t>- la pubblicità sanitaria era disciplinata dalla L. 175/92 abrogata dal D.L. n. 223/2006 convertito in Legge n. 248/2006 (cosiddetta legge Bersani). Tale abrogazione è stata confermata dalla Corte di Cassazione con sentenza 657/2007, la quale ha abrogato anche le norme che limitavano il diritto di apporre targhe aventi scopo pubblicitario;</w:t>
      </w:r>
    </w:p>
    <w:p w:rsidR="00D66125" w:rsidRDefault="00D66125" w:rsidP="00D66125">
      <w:pPr>
        <w:jc w:val="both"/>
      </w:pPr>
      <w:r>
        <w:t xml:space="preserve">- </w:t>
      </w:r>
      <w:smartTag w:uri="urn:schemas-microsoft-com:office:smarttags" w:element="PersonName">
        <w:smartTagPr>
          <w:attr w:name="ProductID" w:val="la Corte"/>
        </w:smartTagPr>
        <w:r>
          <w:t>la Corte</w:t>
        </w:r>
      </w:smartTag>
      <w:r>
        <w:t xml:space="preserve"> di Cassazione con sentenza n. 3717/2012 ha sancito che l’intera materia della pubblicità sanitaria resta assoggettata alle disposizioni  introdotte dalla Legge Bersani, senza operare alcun distinguo tra società di persone e società di capitali e prescindendo dalla natura individuale, associativa e societaria dei soggetti rispetto ai quali rileva l’esercizio della professione sanitaria, atteso che la stessa è attuativa dei principi comunitari volti a garantire la libertà di concorrenza e il corretto funzionamento del mercato;</w:t>
      </w:r>
    </w:p>
    <w:p w:rsidR="00D66125" w:rsidRDefault="00D66125" w:rsidP="00D66125">
      <w:pPr>
        <w:jc w:val="both"/>
      </w:pPr>
      <w:r>
        <w:t xml:space="preserve">- il DPR 137 del 07/08/2012 regolamenta la pubblicità informativa sancendo che essa è </w:t>
      </w:r>
      <w:r>
        <w:rPr>
          <w:u w:val="single"/>
        </w:rPr>
        <w:t>libera</w:t>
      </w:r>
      <w:r>
        <w:t xml:space="preserve"> e può essere svolta con ogni mezzo, può avere ad oggetto l’attività professionale, le specializzazioni, i titoli professionali posseduti, la struttura dello studio ed i compensi della prestazione e che le informazioni </w:t>
      </w:r>
      <w:r>
        <w:lastRenderedPageBreak/>
        <w:t>devono essere trasparenti, veritiere, corrette, non devono essere equivoche, ingannevoli, denigratorie e non devono violare l’obbligo del segreto professionale;</w:t>
      </w:r>
    </w:p>
    <w:p w:rsidR="00D66125" w:rsidRDefault="00D66125" w:rsidP="00D66125">
      <w:pPr>
        <w:jc w:val="both"/>
      </w:pPr>
    </w:p>
    <w:p w:rsidR="00D66125" w:rsidRDefault="00D66125" w:rsidP="00D66125">
      <w:pPr>
        <w:jc w:val="both"/>
        <w:rPr>
          <w:sz w:val="20"/>
          <w:szCs w:val="20"/>
        </w:rPr>
      </w:pPr>
      <w:proofErr w:type="gramStart"/>
      <w:r w:rsidRPr="00564C5D">
        <w:rPr>
          <w:b/>
        </w:rPr>
        <w:t>delibera</w:t>
      </w:r>
      <w:proofErr w:type="gramEnd"/>
      <w:r w:rsidRPr="00564C5D">
        <w:rPr>
          <w:b/>
        </w:rPr>
        <w:t>,</w:t>
      </w:r>
      <w:r>
        <w:t xml:space="preserve"> all’unanimità, di </w:t>
      </w:r>
      <w:r>
        <w:rPr>
          <w:u w:val="single"/>
        </w:rPr>
        <w:t>abolire</w:t>
      </w:r>
      <w:r>
        <w:t xml:space="preserve"> la concessione del nulla osta pubblicitario da parte dell’Ordine pur restando prerogativa dell’Ordine il controllo della veridicità e correttezza della pubblicità informativa anche relativamente alle caratteristiche di non equivocità e ingannevolezza.</w:t>
      </w:r>
    </w:p>
    <w:p w:rsidR="00D66125" w:rsidRDefault="00D66125" w:rsidP="00D66125">
      <w:pPr>
        <w:jc w:val="both"/>
      </w:pPr>
      <w:r>
        <w:t>Sarà data informativa di tale delibera a tutti i sindaci dei Comuni della Provincia di Ascoli Piceno.</w:t>
      </w:r>
    </w:p>
    <w:p w:rsidR="005A7919" w:rsidRDefault="005A7919" w:rsidP="00D66125">
      <w:pPr>
        <w:jc w:val="both"/>
      </w:pPr>
    </w:p>
    <w:p w:rsidR="005A7919" w:rsidRDefault="005A7919" w:rsidP="005A7919">
      <w:pPr>
        <w:pStyle w:val="Paragrafoelenco"/>
        <w:numPr>
          <w:ilvl w:val="0"/>
          <w:numId w:val="11"/>
        </w:numPr>
        <w:jc w:val="both"/>
      </w:pPr>
      <w:r>
        <w:t xml:space="preserve">Il Consiglio delibera di costituire una commissione formata dai </w:t>
      </w:r>
      <w:proofErr w:type="spellStart"/>
      <w:r>
        <w:t>drr</w:t>
      </w:r>
      <w:proofErr w:type="spellEnd"/>
      <w:r>
        <w:t xml:space="preserve"> Marina Fiori, Fiorella De Angelis e Piero M. Benfatti che si occuperà di valutare sul mercato il completamento di arredo mobiliare per la Sede dell’Ordine.</w:t>
      </w:r>
      <w:bookmarkStart w:id="0" w:name="_GoBack"/>
      <w:bookmarkEnd w:id="0"/>
    </w:p>
    <w:p w:rsidR="004A00C5" w:rsidRDefault="004A00C5" w:rsidP="004A00C5">
      <w:pPr>
        <w:ind w:left="360" w:right="-442"/>
        <w:jc w:val="both"/>
      </w:pPr>
    </w:p>
    <w:p w:rsidR="00D66125" w:rsidRDefault="00D66125" w:rsidP="00D66125">
      <w:pPr>
        <w:pStyle w:val="Corpodeltesto2"/>
        <w:numPr>
          <w:ilvl w:val="0"/>
          <w:numId w:val="11"/>
        </w:numPr>
        <w:tabs>
          <w:tab w:val="left" w:pos="142"/>
        </w:tabs>
        <w:ind w:right="-143"/>
        <w:jc w:val="both"/>
        <w:rPr>
          <w:b/>
          <w:i w:val="0"/>
        </w:rPr>
      </w:pPr>
      <w:r>
        <w:rPr>
          <w:b/>
          <w:i w:val="0"/>
        </w:rPr>
        <w:t>Piano formativo ECM 2012.</w:t>
      </w:r>
    </w:p>
    <w:p w:rsidR="00D66125" w:rsidRDefault="00D66125" w:rsidP="00D66125">
      <w:pPr>
        <w:pStyle w:val="Corpodeltesto2"/>
        <w:tabs>
          <w:tab w:val="left" w:pos="142"/>
        </w:tabs>
        <w:ind w:right="-143"/>
        <w:jc w:val="both"/>
        <w:rPr>
          <w:i w:val="0"/>
        </w:rPr>
      </w:pPr>
      <w:r>
        <w:rPr>
          <w:i w:val="0"/>
        </w:rPr>
        <w:tab/>
      </w:r>
      <w:r>
        <w:rPr>
          <w:i w:val="0"/>
        </w:rPr>
        <w:tab/>
        <w:t xml:space="preserve">Il Consiglio delibera di continuare ad usufruire dell’Ufficio formazione dell’Area Vasta 5 ASUR Marche per l’accreditamento ECM degli eventi del piano formativo </w:t>
      </w:r>
      <w:proofErr w:type="spellStart"/>
      <w:r>
        <w:rPr>
          <w:i w:val="0"/>
        </w:rPr>
        <w:t>ordinistico</w:t>
      </w:r>
      <w:proofErr w:type="spellEnd"/>
      <w:r>
        <w:rPr>
          <w:i w:val="0"/>
        </w:rPr>
        <w:t xml:space="preserve"> 2013. </w:t>
      </w:r>
    </w:p>
    <w:p w:rsidR="00D66125" w:rsidRDefault="00D66125" w:rsidP="00D66125">
      <w:pPr>
        <w:pStyle w:val="Corpodeltesto2"/>
        <w:tabs>
          <w:tab w:val="left" w:pos="142"/>
        </w:tabs>
        <w:ind w:right="-143"/>
        <w:jc w:val="both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</w:t>
      </w:r>
    </w:p>
    <w:p w:rsidR="00D66125" w:rsidRDefault="00D66125" w:rsidP="00D66125">
      <w:pPr>
        <w:pStyle w:val="Corpodeltesto2"/>
        <w:tabs>
          <w:tab w:val="left" w:pos="0"/>
        </w:tabs>
        <w:ind w:right="-143"/>
        <w:jc w:val="both"/>
        <w:rPr>
          <w:b/>
          <w:i w:val="0"/>
        </w:rPr>
      </w:pPr>
    </w:p>
    <w:p w:rsidR="00D66125" w:rsidRDefault="00D66125" w:rsidP="00D66125">
      <w:pPr>
        <w:pStyle w:val="Corpodeltesto2"/>
        <w:numPr>
          <w:ilvl w:val="0"/>
          <w:numId w:val="11"/>
        </w:numPr>
        <w:tabs>
          <w:tab w:val="left" w:pos="0"/>
        </w:tabs>
        <w:ind w:right="-143"/>
        <w:jc w:val="both"/>
        <w:rPr>
          <w:i w:val="0"/>
        </w:rPr>
      </w:pPr>
      <w:r>
        <w:rPr>
          <w:b/>
          <w:i w:val="0"/>
        </w:rPr>
        <w:t>Presa d’atto della consegna delle chiavi della Sede dell’Ordine.</w:t>
      </w:r>
      <w:r>
        <w:rPr>
          <w:i w:val="0"/>
        </w:rPr>
        <w:tab/>
      </w:r>
    </w:p>
    <w:p w:rsidR="00D66125" w:rsidRDefault="00D66125" w:rsidP="00D66125">
      <w:pPr>
        <w:pStyle w:val="Corpotesto"/>
        <w:ind w:left="360" w:firstLine="348"/>
        <w:jc w:val="both"/>
      </w:pPr>
      <w:r>
        <w:t xml:space="preserve">Il Consiglio prende atto che le chiavi del portone di ingresso della Sede dell’Ordine sono 9 di cui 1 di “riserva” conservata nella cassaforte della sede dell’Ordine e 8 consegnate alle seguenti persone: </w:t>
      </w:r>
    </w:p>
    <w:p w:rsidR="00D66125" w:rsidRDefault="00D66125" w:rsidP="00D66125">
      <w:pPr>
        <w:pStyle w:val="Corpotesto"/>
        <w:numPr>
          <w:ilvl w:val="0"/>
          <w:numId w:val="7"/>
        </w:numPr>
        <w:jc w:val="both"/>
      </w:pPr>
      <w:proofErr w:type="gramStart"/>
      <w:r>
        <w:t>alle</w:t>
      </w:r>
      <w:proofErr w:type="gramEnd"/>
      <w:r>
        <w:t xml:space="preserve"> 2 dipendenti dell’Ordine</w:t>
      </w:r>
    </w:p>
    <w:p w:rsidR="00D66125" w:rsidRDefault="00D66125" w:rsidP="00D66125">
      <w:pPr>
        <w:pStyle w:val="Corpotesto"/>
        <w:numPr>
          <w:ilvl w:val="0"/>
          <w:numId w:val="7"/>
        </w:numPr>
        <w:jc w:val="both"/>
      </w:pPr>
      <w:proofErr w:type="gramStart"/>
      <w:r>
        <w:t>al</w:t>
      </w:r>
      <w:proofErr w:type="gramEnd"/>
      <w:r>
        <w:t xml:space="preserve"> Presidente</w:t>
      </w:r>
    </w:p>
    <w:p w:rsidR="00D66125" w:rsidRDefault="00D66125" w:rsidP="00D66125">
      <w:pPr>
        <w:pStyle w:val="Corpotesto"/>
        <w:numPr>
          <w:ilvl w:val="0"/>
          <w:numId w:val="7"/>
        </w:numPr>
        <w:jc w:val="both"/>
      </w:pPr>
      <w:proofErr w:type="gramStart"/>
      <w:r>
        <w:t>al</w:t>
      </w:r>
      <w:proofErr w:type="gramEnd"/>
      <w:r>
        <w:t xml:space="preserve"> Vice-Presidente</w:t>
      </w:r>
    </w:p>
    <w:p w:rsidR="00D66125" w:rsidRDefault="00D66125" w:rsidP="00D66125">
      <w:pPr>
        <w:pStyle w:val="Corpotesto"/>
        <w:numPr>
          <w:ilvl w:val="0"/>
          <w:numId w:val="7"/>
        </w:numPr>
        <w:jc w:val="both"/>
      </w:pPr>
      <w:proofErr w:type="gramStart"/>
      <w:r>
        <w:t>al</w:t>
      </w:r>
      <w:proofErr w:type="gramEnd"/>
      <w:r>
        <w:t xml:space="preserve"> Segretario</w:t>
      </w:r>
    </w:p>
    <w:p w:rsidR="00D66125" w:rsidRDefault="00D66125" w:rsidP="00D66125">
      <w:pPr>
        <w:pStyle w:val="Corpotesto"/>
        <w:numPr>
          <w:ilvl w:val="0"/>
          <w:numId w:val="7"/>
        </w:numPr>
        <w:jc w:val="both"/>
      </w:pPr>
      <w:proofErr w:type="gramStart"/>
      <w:r>
        <w:t>al</w:t>
      </w:r>
      <w:proofErr w:type="gramEnd"/>
      <w:r>
        <w:t xml:space="preserve"> Tesoriere</w:t>
      </w:r>
    </w:p>
    <w:p w:rsidR="00D66125" w:rsidRDefault="00D66125" w:rsidP="00D66125">
      <w:pPr>
        <w:pStyle w:val="Corpotesto"/>
        <w:numPr>
          <w:ilvl w:val="0"/>
          <w:numId w:val="7"/>
        </w:numPr>
        <w:jc w:val="both"/>
      </w:pPr>
      <w:proofErr w:type="gramStart"/>
      <w:r>
        <w:t>al</w:t>
      </w:r>
      <w:proofErr w:type="gramEnd"/>
      <w:r>
        <w:t xml:space="preserve"> Presidente CAO</w:t>
      </w:r>
    </w:p>
    <w:p w:rsidR="00D66125" w:rsidRDefault="00D66125" w:rsidP="00D66125">
      <w:pPr>
        <w:pStyle w:val="Corpotesto"/>
        <w:numPr>
          <w:ilvl w:val="0"/>
          <w:numId w:val="7"/>
        </w:numPr>
        <w:jc w:val="both"/>
      </w:pPr>
      <w:proofErr w:type="gramStart"/>
      <w:r>
        <w:t>alla</w:t>
      </w:r>
      <w:proofErr w:type="gramEnd"/>
      <w:r>
        <w:t xml:space="preserve"> dipendente della Ditta “Il Picchio” che si occupa della pulizia della Sede dell’Ordine.</w:t>
      </w:r>
    </w:p>
    <w:p w:rsidR="00D66125" w:rsidRDefault="00D66125" w:rsidP="004A00C5">
      <w:pPr>
        <w:ind w:left="360" w:right="-442"/>
        <w:jc w:val="both"/>
      </w:pPr>
    </w:p>
    <w:p w:rsidR="00D66125" w:rsidRDefault="00D66125" w:rsidP="004A00C5">
      <w:pPr>
        <w:ind w:left="360" w:right="-442"/>
        <w:jc w:val="both"/>
      </w:pPr>
    </w:p>
    <w:p w:rsidR="00D66125" w:rsidRDefault="00D66125" w:rsidP="004A00C5">
      <w:pPr>
        <w:ind w:left="360" w:right="-442"/>
        <w:jc w:val="both"/>
      </w:pPr>
    </w:p>
    <w:p w:rsidR="00D66125" w:rsidRDefault="00D66125" w:rsidP="004A00C5">
      <w:pPr>
        <w:ind w:left="360" w:right="-442"/>
        <w:jc w:val="both"/>
      </w:pPr>
    </w:p>
    <w:p w:rsidR="00D66125" w:rsidRDefault="00D66125" w:rsidP="004A00C5">
      <w:pPr>
        <w:ind w:left="360" w:right="-442"/>
        <w:jc w:val="both"/>
      </w:pPr>
    </w:p>
    <w:p w:rsidR="00D66125" w:rsidRDefault="00D66125" w:rsidP="004A00C5">
      <w:pPr>
        <w:ind w:left="360" w:right="-442"/>
        <w:jc w:val="both"/>
      </w:pPr>
    </w:p>
    <w:p w:rsidR="00D66125" w:rsidRDefault="00D66125" w:rsidP="004A00C5">
      <w:pPr>
        <w:ind w:left="360" w:right="-442"/>
        <w:jc w:val="both"/>
      </w:pPr>
    </w:p>
    <w:p w:rsidR="00D66125" w:rsidRDefault="00D66125" w:rsidP="004A00C5">
      <w:pPr>
        <w:ind w:left="360" w:right="-442"/>
        <w:jc w:val="both"/>
      </w:pPr>
    </w:p>
    <w:p w:rsidR="00D66125" w:rsidRDefault="00D66125" w:rsidP="004A00C5">
      <w:pPr>
        <w:ind w:left="360" w:right="-442"/>
        <w:jc w:val="both"/>
      </w:pPr>
    </w:p>
    <w:p w:rsidR="00D66125" w:rsidRDefault="00D66125" w:rsidP="004A00C5">
      <w:pPr>
        <w:ind w:left="360" w:right="-442"/>
        <w:jc w:val="both"/>
      </w:pPr>
    </w:p>
    <w:p w:rsidR="00D66125" w:rsidRDefault="00D66125" w:rsidP="004A00C5">
      <w:pPr>
        <w:ind w:left="360" w:right="-442"/>
        <w:jc w:val="both"/>
      </w:pPr>
    </w:p>
    <w:p w:rsidR="00D66125" w:rsidRDefault="00D66125" w:rsidP="004A00C5">
      <w:pPr>
        <w:ind w:left="360" w:right="-442"/>
        <w:jc w:val="both"/>
      </w:pPr>
    </w:p>
    <w:p w:rsidR="00D66125" w:rsidRDefault="00D66125" w:rsidP="004A00C5">
      <w:pPr>
        <w:ind w:left="360" w:right="-442"/>
        <w:jc w:val="both"/>
      </w:pPr>
    </w:p>
    <w:p w:rsidR="00D66125" w:rsidRDefault="00D66125" w:rsidP="004A00C5">
      <w:pPr>
        <w:ind w:left="360" w:right="-442"/>
        <w:jc w:val="both"/>
      </w:pPr>
    </w:p>
    <w:p w:rsidR="00D66125" w:rsidRDefault="00D66125" w:rsidP="004A00C5">
      <w:pPr>
        <w:ind w:left="360" w:right="-442"/>
        <w:jc w:val="both"/>
      </w:pPr>
    </w:p>
    <w:p w:rsidR="00D66125" w:rsidRDefault="00D66125" w:rsidP="004A00C5">
      <w:pPr>
        <w:ind w:left="360" w:right="-442"/>
        <w:jc w:val="both"/>
      </w:pPr>
    </w:p>
    <w:p w:rsidR="00D66125" w:rsidRDefault="00D66125" w:rsidP="004A00C5">
      <w:pPr>
        <w:ind w:left="360" w:right="-442"/>
        <w:jc w:val="both"/>
      </w:pPr>
    </w:p>
    <w:p w:rsidR="00D66125" w:rsidRDefault="00D66125" w:rsidP="004A00C5">
      <w:pPr>
        <w:ind w:left="360" w:right="-442"/>
        <w:jc w:val="both"/>
      </w:pPr>
    </w:p>
    <w:sectPr w:rsidR="00D66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EBE"/>
    <w:multiLevelType w:val="hybridMultilevel"/>
    <w:tmpl w:val="EA904C1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2AA9"/>
    <w:multiLevelType w:val="hybridMultilevel"/>
    <w:tmpl w:val="AA02B12C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54688"/>
    <w:multiLevelType w:val="hybridMultilevel"/>
    <w:tmpl w:val="6DEC50A6"/>
    <w:lvl w:ilvl="0" w:tplc="83CCA3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F95CA4"/>
    <w:multiLevelType w:val="hybridMultilevel"/>
    <w:tmpl w:val="70200FD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3E0920C4"/>
    <w:multiLevelType w:val="hybridMultilevel"/>
    <w:tmpl w:val="5BE242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B569E"/>
    <w:multiLevelType w:val="hybridMultilevel"/>
    <w:tmpl w:val="5950B1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F3E6C"/>
    <w:multiLevelType w:val="hybridMultilevel"/>
    <w:tmpl w:val="C81EB6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C79"/>
    <w:multiLevelType w:val="hybridMultilevel"/>
    <w:tmpl w:val="35A0CDB8"/>
    <w:lvl w:ilvl="0" w:tplc="8962FF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5C636E"/>
    <w:multiLevelType w:val="hybridMultilevel"/>
    <w:tmpl w:val="955A17F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1A"/>
    <w:rsid w:val="004A00C5"/>
    <w:rsid w:val="00577E1A"/>
    <w:rsid w:val="005A7919"/>
    <w:rsid w:val="00831197"/>
    <w:rsid w:val="00D66125"/>
    <w:rsid w:val="00F2189F"/>
    <w:rsid w:val="00F6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4E7F-F451-41B4-AEF7-E8FA3AD2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1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831197"/>
    <w:pPr>
      <w:keepNext/>
      <w:ind w:left="360" w:right="-568"/>
      <w:jc w:val="both"/>
      <w:outlineLvl w:val="1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31197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831197"/>
    <w:rPr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31197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31197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A00C5"/>
    <w:pPr>
      <w:ind w:right="-568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4A00C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A00C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A00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rsid w:val="004A00C5"/>
    <w:pPr>
      <w:ind w:left="360" w:right="-568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6</cp:revision>
  <dcterms:created xsi:type="dcterms:W3CDTF">2022-11-17T09:41:00Z</dcterms:created>
  <dcterms:modified xsi:type="dcterms:W3CDTF">2022-11-17T10:23:00Z</dcterms:modified>
</cp:coreProperties>
</file>