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A2" w:rsidRDefault="00FC49A2" w:rsidP="00FC49A2">
      <w:pPr>
        <w:rPr>
          <w:rFonts w:eastAsia="SimSun"/>
          <w:sz w:val="24"/>
          <w:szCs w:val="24"/>
        </w:rPr>
      </w:pPr>
    </w:p>
    <w:p w:rsidR="00EE4D30" w:rsidRDefault="00EE4D30" w:rsidP="00EE4D30">
      <w:pPr>
        <w:ind w:right="-568"/>
        <w:rPr>
          <w:i/>
          <w:sz w:val="24"/>
        </w:rPr>
      </w:pPr>
    </w:p>
    <w:p w:rsidR="00EE4D30" w:rsidRDefault="00EE4D30" w:rsidP="00EE4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EE4D30" w:rsidRDefault="00EE4D30" w:rsidP="00EE4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EE4D30" w:rsidRDefault="00EE4D30" w:rsidP="00EE4D30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E4D30" w:rsidRDefault="00EE4D30" w:rsidP="00EE4D30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dell’11/06/2022</w:t>
      </w:r>
    </w:p>
    <w:p w:rsidR="00EE4D30" w:rsidRDefault="00EE4D30" w:rsidP="00FC49A2">
      <w:pPr>
        <w:rPr>
          <w:rFonts w:eastAsia="SimSun"/>
          <w:sz w:val="24"/>
          <w:szCs w:val="24"/>
        </w:rPr>
      </w:pPr>
    </w:p>
    <w:p w:rsidR="00FC49A2" w:rsidRDefault="00FC49A2" w:rsidP="00FC49A2">
      <w:pPr>
        <w:tabs>
          <w:tab w:val="left" w:pos="142"/>
        </w:tabs>
        <w:ind w:right="-143"/>
        <w:jc w:val="both"/>
        <w:rPr>
          <w:sz w:val="24"/>
        </w:rPr>
      </w:pPr>
    </w:p>
    <w:p w:rsidR="00FC49A2" w:rsidRPr="000F2F82" w:rsidRDefault="00FC49A2" w:rsidP="000F2F82">
      <w:pPr>
        <w:pStyle w:val="Paragrafoelenco"/>
        <w:widowControl w:val="0"/>
        <w:numPr>
          <w:ilvl w:val="0"/>
          <w:numId w:val="6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2F82">
        <w:rPr>
          <w:rFonts w:ascii="Times New Roman" w:hAnsi="Times New Roman" w:cs="Times New Roman"/>
          <w:b/>
          <w:iCs/>
          <w:sz w:val="24"/>
          <w:szCs w:val="24"/>
        </w:rPr>
        <w:t>Comunicazioni del Presidente.</w:t>
      </w:r>
    </w:p>
    <w:p w:rsidR="00FC49A2" w:rsidRPr="00155BE5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iCs/>
          <w:sz w:val="24"/>
          <w:szCs w:val="24"/>
        </w:rPr>
      </w:pPr>
      <w:r w:rsidRPr="00155BE5">
        <w:rPr>
          <w:iCs/>
          <w:sz w:val="24"/>
          <w:szCs w:val="24"/>
        </w:rPr>
        <w:t>Il presidente comunica che sono state effettuate elezioni ENPAM per il rinnovo dell’Assemblea Nazionale e dei Comitati Consultivi.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 w:rsidRPr="00155BE5">
        <w:rPr>
          <w:iCs/>
          <w:sz w:val="24"/>
          <w:szCs w:val="24"/>
        </w:rPr>
        <w:t xml:space="preserve">Il presidente comunica la volontà di iscrivere al nostro </w:t>
      </w:r>
      <w:r w:rsidR="000F2F82">
        <w:rPr>
          <w:iCs/>
          <w:sz w:val="24"/>
          <w:szCs w:val="24"/>
        </w:rPr>
        <w:t>O</w:t>
      </w:r>
      <w:r w:rsidRPr="00155BE5">
        <w:rPr>
          <w:iCs/>
          <w:sz w:val="24"/>
          <w:szCs w:val="24"/>
        </w:rPr>
        <w:t>rdine prioritariamente i soggetti già laureati rispetto ai laureandi appartenenti al gruppo unico con laure</w:t>
      </w:r>
      <w:r w:rsidR="000F2F82">
        <w:rPr>
          <w:iCs/>
          <w:sz w:val="24"/>
          <w:szCs w:val="24"/>
        </w:rPr>
        <w:t xml:space="preserve">a abilitante che completeranno </w:t>
      </w:r>
      <w:r w:rsidRPr="00155BE5">
        <w:rPr>
          <w:iCs/>
          <w:sz w:val="24"/>
          <w:szCs w:val="24"/>
        </w:rPr>
        <w:t>entrambi il tirocinio nel mese di giugno. Il consiglio concorda all'unanimità.</w:t>
      </w:r>
    </w:p>
    <w:p w:rsidR="00FC49A2" w:rsidRPr="00155BE5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</w:p>
    <w:p w:rsidR="00FC49A2" w:rsidRPr="000F2F82" w:rsidRDefault="00FC49A2" w:rsidP="000F2F82">
      <w:pPr>
        <w:pStyle w:val="Paragrafoelenco"/>
        <w:widowControl w:val="0"/>
        <w:numPr>
          <w:ilvl w:val="0"/>
          <w:numId w:val="6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2F82">
        <w:rPr>
          <w:rFonts w:ascii="Times New Roman" w:hAnsi="Times New Roman" w:cs="Times New Roman"/>
          <w:b/>
          <w:iCs/>
          <w:sz w:val="24"/>
          <w:szCs w:val="24"/>
        </w:rPr>
        <w:t>Comunicazioni del Segretario.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C55DB5">
        <w:rPr>
          <w:iCs/>
          <w:sz w:val="24"/>
          <w:szCs w:val="24"/>
        </w:rPr>
        <w:t xml:space="preserve">Il segretario </w:t>
      </w:r>
      <w:r>
        <w:rPr>
          <w:iCs/>
          <w:sz w:val="24"/>
          <w:szCs w:val="24"/>
        </w:rPr>
        <w:t xml:space="preserve">illustra la </w:t>
      </w:r>
      <w:r w:rsidRPr="00C55DB5">
        <w:rPr>
          <w:iCs/>
          <w:sz w:val="24"/>
          <w:szCs w:val="24"/>
        </w:rPr>
        <w:t>Delibera regionale "</w:t>
      </w:r>
      <w:proofErr w:type="spellStart"/>
      <w:r w:rsidRPr="00C55DB5">
        <w:rPr>
          <w:iCs/>
          <w:sz w:val="24"/>
          <w:szCs w:val="24"/>
        </w:rPr>
        <w:t>Farmacup</w:t>
      </w:r>
      <w:proofErr w:type="spellEnd"/>
      <w:r w:rsidRPr="00C55DB5">
        <w:rPr>
          <w:iCs/>
          <w:sz w:val="24"/>
          <w:szCs w:val="24"/>
        </w:rPr>
        <w:t xml:space="preserve">" che contiene alcune criticità tra cui la scelta e revoca del medico di medicina generale e del </w:t>
      </w:r>
      <w:proofErr w:type="spellStart"/>
      <w:r w:rsidRPr="00C55DB5">
        <w:rPr>
          <w:iCs/>
          <w:sz w:val="24"/>
          <w:szCs w:val="24"/>
        </w:rPr>
        <w:t>prediatra</w:t>
      </w:r>
      <w:proofErr w:type="spellEnd"/>
      <w:r w:rsidRPr="00C55DB5">
        <w:rPr>
          <w:iCs/>
          <w:sz w:val="24"/>
          <w:szCs w:val="24"/>
        </w:rPr>
        <w:t xml:space="preserve"> di libera scelta. Il Presidente si incarica di contattare i presidenti degli altri Ordini marchigiani per una e</w:t>
      </w:r>
      <w:r>
        <w:rPr>
          <w:iCs/>
          <w:sz w:val="24"/>
          <w:szCs w:val="24"/>
        </w:rPr>
        <w:t>ventuale azione congiunta</w:t>
      </w:r>
    </w:p>
    <w:p w:rsidR="00FC49A2" w:rsidRPr="00C55DB5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</w:p>
    <w:p w:rsidR="00FC49A2" w:rsidRPr="000F2F82" w:rsidRDefault="00FC49A2" w:rsidP="000F2F82">
      <w:pPr>
        <w:pStyle w:val="Paragrafoelenco"/>
        <w:widowControl w:val="0"/>
        <w:numPr>
          <w:ilvl w:val="0"/>
          <w:numId w:val="7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F82">
        <w:rPr>
          <w:rFonts w:ascii="Times New Roman" w:hAnsi="Times New Roman" w:cs="Times New Roman"/>
          <w:b/>
          <w:iCs/>
          <w:sz w:val="24"/>
          <w:szCs w:val="24"/>
        </w:rPr>
        <w:t>Variazioni Albo Professionale</w:t>
      </w:r>
      <w:r w:rsidRPr="000F2F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49A2" w:rsidRPr="009E130E" w:rsidRDefault="00FC49A2" w:rsidP="00FC49A2">
      <w:pPr>
        <w:keepNext/>
        <w:suppressAutoHyphens w:val="0"/>
        <w:ind w:left="360" w:right="-5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</w:t>
      </w:r>
      <w:r w:rsidRPr="009E130E">
        <w:rPr>
          <w:b/>
          <w:sz w:val="24"/>
          <w:szCs w:val="24"/>
        </w:rPr>
        <w:t>Consiglio Delibera l’iscrizione all’Albo dei Medici Chirurghi dei seguenti medici aventi laurea abilitante (Emergenza Covid-19):</w:t>
      </w:r>
    </w:p>
    <w:p w:rsidR="00FC49A2" w:rsidRPr="00E13F7E" w:rsidRDefault="00FC49A2" w:rsidP="00FC49A2">
      <w:pPr>
        <w:pStyle w:val="Paragrafoelenco"/>
        <w:keepNext/>
        <w:numPr>
          <w:ilvl w:val="0"/>
          <w:numId w:val="1"/>
        </w:numPr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E13F7E">
        <w:rPr>
          <w:rFonts w:ascii="Times New Roman" w:hAnsi="Times New Roman" w:cs="Times New Roman"/>
          <w:sz w:val="24"/>
          <w:szCs w:val="24"/>
        </w:rPr>
        <w:t xml:space="preserve">Dott. Lorenzo </w:t>
      </w:r>
      <w:proofErr w:type="spellStart"/>
      <w:r w:rsidRPr="00E13F7E">
        <w:rPr>
          <w:rFonts w:ascii="Times New Roman" w:hAnsi="Times New Roman" w:cs="Times New Roman"/>
          <w:sz w:val="24"/>
          <w:szCs w:val="24"/>
        </w:rPr>
        <w:t>Braccischi</w:t>
      </w:r>
      <w:proofErr w:type="spellEnd"/>
      <w:r w:rsidRPr="00E13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9A2" w:rsidRPr="006762D8" w:rsidRDefault="00FC49A2" w:rsidP="00FC49A2">
      <w:pPr>
        <w:pStyle w:val="Paragrafoelenco"/>
        <w:keepNext/>
        <w:numPr>
          <w:ilvl w:val="0"/>
          <w:numId w:val="1"/>
        </w:numPr>
        <w:spacing w:line="240" w:lineRule="atLeast"/>
        <w:ind w:right="-54"/>
        <w:jc w:val="both"/>
        <w:rPr>
          <w:b/>
          <w:sz w:val="24"/>
          <w:szCs w:val="24"/>
        </w:rPr>
      </w:pPr>
      <w:r w:rsidRPr="006762D8">
        <w:rPr>
          <w:rFonts w:ascii="Times New Roman" w:hAnsi="Times New Roman" w:cs="Times New Roman"/>
          <w:sz w:val="24"/>
          <w:szCs w:val="24"/>
        </w:rPr>
        <w:t xml:space="preserve">Dott.ssa Francesca Di Matteo </w:t>
      </w:r>
    </w:p>
    <w:p w:rsidR="00FC49A2" w:rsidRDefault="00FC49A2" w:rsidP="00FC49A2">
      <w:pPr>
        <w:keepNext/>
        <w:suppressAutoHyphens w:val="0"/>
        <w:ind w:left="360" w:right="-54"/>
        <w:jc w:val="both"/>
        <w:outlineLvl w:val="1"/>
        <w:rPr>
          <w:b/>
          <w:sz w:val="24"/>
          <w:szCs w:val="24"/>
          <w:lang w:eastAsia="it-IT"/>
        </w:rPr>
      </w:pPr>
      <w:proofErr w:type="gramStart"/>
      <w:r w:rsidRPr="00E13F7E">
        <w:rPr>
          <w:b/>
          <w:sz w:val="24"/>
          <w:szCs w:val="24"/>
          <w:lang w:eastAsia="it-IT"/>
        </w:rPr>
        <w:t>il</w:t>
      </w:r>
      <w:proofErr w:type="gramEnd"/>
      <w:r w:rsidRPr="00E13F7E">
        <w:rPr>
          <w:b/>
          <w:sz w:val="24"/>
          <w:szCs w:val="24"/>
          <w:lang w:eastAsia="it-IT"/>
        </w:rPr>
        <w:t xml:space="preserve"> Consiglio Delibera l’iscrizione all’Albo degli Odontoiatri di: </w:t>
      </w:r>
    </w:p>
    <w:p w:rsidR="00FC49A2" w:rsidRPr="00E13F7E" w:rsidRDefault="00FC49A2" w:rsidP="00FC49A2">
      <w:pPr>
        <w:ind w:left="360"/>
        <w:jc w:val="both"/>
        <w:rPr>
          <w:sz w:val="24"/>
          <w:szCs w:val="24"/>
        </w:rPr>
      </w:pPr>
      <w:r w:rsidRPr="00E13F7E">
        <w:rPr>
          <w:sz w:val="24"/>
          <w:szCs w:val="24"/>
        </w:rPr>
        <w:t xml:space="preserve">Dott.ssa Valentina </w:t>
      </w:r>
      <w:proofErr w:type="spellStart"/>
      <w:r w:rsidRPr="00E13F7E">
        <w:rPr>
          <w:sz w:val="24"/>
          <w:szCs w:val="24"/>
        </w:rPr>
        <w:t>Verdecchia</w:t>
      </w:r>
      <w:proofErr w:type="spellEnd"/>
      <w:r w:rsidRPr="00E13F7E">
        <w:rPr>
          <w:sz w:val="24"/>
          <w:szCs w:val="24"/>
        </w:rPr>
        <w:t xml:space="preserve">, 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</w:p>
    <w:p w:rsidR="00FC49A2" w:rsidRPr="00923ED3" w:rsidRDefault="00FC49A2" w:rsidP="00FC49A2">
      <w:pPr>
        <w:keepNext/>
        <w:spacing w:line="252" w:lineRule="auto"/>
        <w:ind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923ED3">
        <w:rPr>
          <w:rFonts w:eastAsia="Calibri"/>
          <w:b/>
          <w:sz w:val="24"/>
          <w:szCs w:val="24"/>
        </w:rPr>
        <w:t>il</w:t>
      </w:r>
      <w:proofErr w:type="gramEnd"/>
      <w:r w:rsidRPr="00923ED3">
        <w:rPr>
          <w:rFonts w:eastAsia="Calibri"/>
          <w:b/>
          <w:sz w:val="24"/>
          <w:szCs w:val="24"/>
        </w:rPr>
        <w:t xml:space="preserve"> Consiglio Delibera</w:t>
      </w:r>
    </w:p>
    <w:p w:rsidR="00FC49A2" w:rsidRPr="00923ED3" w:rsidRDefault="00FC49A2" w:rsidP="00FC49A2">
      <w:pPr>
        <w:keepNext/>
        <w:spacing w:line="252" w:lineRule="auto"/>
        <w:ind w:right="-568"/>
        <w:jc w:val="both"/>
        <w:outlineLvl w:val="1"/>
        <w:rPr>
          <w:rFonts w:eastAsia="SimSun"/>
          <w:b/>
          <w:sz w:val="24"/>
          <w:szCs w:val="24"/>
        </w:rPr>
      </w:pPr>
      <w:proofErr w:type="gramStart"/>
      <w:r w:rsidRPr="00923ED3">
        <w:rPr>
          <w:rFonts w:eastAsia="Calibri"/>
          <w:b/>
          <w:sz w:val="24"/>
          <w:szCs w:val="24"/>
        </w:rPr>
        <w:t>la</w:t>
      </w:r>
      <w:proofErr w:type="gramEnd"/>
      <w:r w:rsidRPr="00923ED3">
        <w:rPr>
          <w:rFonts w:eastAsia="Calibri"/>
          <w:b/>
          <w:sz w:val="24"/>
          <w:szCs w:val="24"/>
        </w:rPr>
        <w:t xml:space="preserve"> cancellazione dall'Albo dei Medici Chirurghi di: </w:t>
      </w:r>
    </w:p>
    <w:p w:rsidR="00FC49A2" w:rsidRPr="00923ED3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</w:p>
    <w:p w:rsidR="00FC49A2" w:rsidRPr="00923ED3" w:rsidRDefault="00FC49A2" w:rsidP="00FC49A2">
      <w:pPr>
        <w:numPr>
          <w:ilvl w:val="0"/>
          <w:numId w:val="2"/>
        </w:numPr>
        <w:suppressAutoHyphens w:val="0"/>
        <w:ind w:left="360"/>
        <w:rPr>
          <w:sz w:val="24"/>
          <w:szCs w:val="24"/>
        </w:rPr>
      </w:pPr>
      <w:r w:rsidRPr="00923ED3">
        <w:rPr>
          <w:sz w:val="24"/>
          <w:szCs w:val="24"/>
        </w:rPr>
        <w:t>Dott.ssa Donatella Mora.</w:t>
      </w:r>
    </w:p>
    <w:p w:rsidR="006762D8" w:rsidRDefault="00FC49A2" w:rsidP="00FC49A2">
      <w:pPr>
        <w:numPr>
          <w:ilvl w:val="0"/>
          <w:numId w:val="2"/>
        </w:numPr>
        <w:suppressAutoHyphens w:val="0"/>
        <w:ind w:left="360"/>
        <w:rPr>
          <w:sz w:val="24"/>
          <w:szCs w:val="24"/>
        </w:rPr>
      </w:pPr>
      <w:r w:rsidRPr="006762D8">
        <w:rPr>
          <w:sz w:val="24"/>
          <w:szCs w:val="24"/>
        </w:rPr>
        <w:t xml:space="preserve">Dott.ssa Maria Claudia </w:t>
      </w:r>
      <w:proofErr w:type="spellStart"/>
      <w:r w:rsidRPr="006762D8">
        <w:rPr>
          <w:sz w:val="24"/>
          <w:szCs w:val="24"/>
        </w:rPr>
        <w:t>Finori</w:t>
      </w:r>
      <w:proofErr w:type="spellEnd"/>
      <w:r w:rsidRPr="006762D8">
        <w:rPr>
          <w:sz w:val="24"/>
          <w:szCs w:val="24"/>
        </w:rPr>
        <w:t xml:space="preserve"> </w:t>
      </w:r>
    </w:p>
    <w:p w:rsidR="006762D8" w:rsidRDefault="00FC49A2" w:rsidP="00FC49A2">
      <w:pPr>
        <w:numPr>
          <w:ilvl w:val="0"/>
          <w:numId w:val="2"/>
        </w:numPr>
        <w:suppressAutoHyphens w:val="0"/>
        <w:ind w:left="360"/>
        <w:rPr>
          <w:sz w:val="24"/>
          <w:szCs w:val="24"/>
        </w:rPr>
      </w:pPr>
      <w:r w:rsidRPr="006762D8">
        <w:rPr>
          <w:sz w:val="24"/>
          <w:szCs w:val="24"/>
        </w:rPr>
        <w:t xml:space="preserve">Dott.ssa Laura Alessi </w:t>
      </w:r>
    </w:p>
    <w:p w:rsidR="006762D8" w:rsidRDefault="00FC49A2" w:rsidP="006762D8">
      <w:pPr>
        <w:numPr>
          <w:ilvl w:val="0"/>
          <w:numId w:val="2"/>
        </w:numPr>
        <w:suppressAutoHyphens w:val="0"/>
        <w:ind w:left="360" w:right="-54"/>
        <w:jc w:val="both"/>
        <w:rPr>
          <w:sz w:val="24"/>
          <w:szCs w:val="24"/>
          <w:lang w:eastAsia="it-IT"/>
        </w:rPr>
      </w:pPr>
      <w:r w:rsidRPr="006762D8">
        <w:rPr>
          <w:sz w:val="24"/>
          <w:szCs w:val="24"/>
        </w:rPr>
        <w:t xml:space="preserve">Dott. Giuseppe Colarossi </w:t>
      </w:r>
    </w:p>
    <w:p w:rsidR="006762D8" w:rsidRPr="006762D8" w:rsidRDefault="006762D8" w:rsidP="006762D8">
      <w:pPr>
        <w:suppressAutoHyphens w:val="0"/>
        <w:ind w:left="360" w:right="-54"/>
        <w:jc w:val="both"/>
        <w:rPr>
          <w:sz w:val="24"/>
          <w:szCs w:val="24"/>
          <w:lang w:eastAsia="it-IT"/>
        </w:rPr>
      </w:pPr>
    </w:p>
    <w:p w:rsidR="00FC49A2" w:rsidRPr="00B15C36" w:rsidRDefault="00FC49A2" w:rsidP="00FC49A2">
      <w:pPr>
        <w:keepNext/>
        <w:suppressAutoHyphens w:val="0"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proofErr w:type="gramStart"/>
      <w:r w:rsidRPr="00B15C36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B15C36">
        <w:rPr>
          <w:rFonts w:eastAsia="Calibri"/>
          <w:b/>
          <w:sz w:val="24"/>
          <w:szCs w:val="24"/>
          <w:lang w:eastAsia="en-US"/>
        </w:rPr>
        <w:t xml:space="preserve"> Consiglio Delibera l’iscrizione all’Albo dei Medici Chirurghi:</w:t>
      </w:r>
    </w:p>
    <w:p w:rsidR="00FC49A2" w:rsidRPr="00923ED3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</w:p>
    <w:p w:rsidR="00FC49A2" w:rsidRPr="00833EED" w:rsidRDefault="00FC49A2" w:rsidP="00FC49A2">
      <w:pPr>
        <w:numPr>
          <w:ilvl w:val="0"/>
          <w:numId w:val="3"/>
        </w:numPr>
        <w:suppressAutoHyphens w:val="0"/>
        <w:rPr>
          <w:sz w:val="24"/>
          <w:szCs w:val="24"/>
        </w:rPr>
      </w:pPr>
      <w:r w:rsidRPr="00833EED">
        <w:rPr>
          <w:sz w:val="24"/>
          <w:szCs w:val="24"/>
        </w:rPr>
        <w:t xml:space="preserve">Dott.ssa Eleonora D’Ercoli </w:t>
      </w:r>
    </w:p>
    <w:p w:rsidR="00FC49A2" w:rsidRPr="00B15C36" w:rsidRDefault="00833EED" w:rsidP="00FC49A2">
      <w:pPr>
        <w:numPr>
          <w:ilvl w:val="0"/>
          <w:numId w:val="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Dott</w:t>
      </w:r>
      <w:r w:rsidR="00FC49A2" w:rsidRPr="00B15C36">
        <w:rPr>
          <w:sz w:val="24"/>
          <w:szCs w:val="24"/>
        </w:rPr>
        <w:t xml:space="preserve">. Marco Ventura </w:t>
      </w:r>
    </w:p>
    <w:p w:rsidR="00FC49A2" w:rsidRPr="00B15C36" w:rsidRDefault="00FC49A2" w:rsidP="00FC49A2">
      <w:pPr>
        <w:ind w:left="720"/>
        <w:rPr>
          <w:sz w:val="24"/>
          <w:szCs w:val="24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9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3EED">
        <w:rPr>
          <w:rFonts w:ascii="Times New Roman" w:hAnsi="Times New Roman" w:cs="Times New Roman"/>
          <w:b/>
          <w:iCs/>
          <w:sz w:val="24"/>
          <w:szCs w:val="24"/>
        </w:rPr>
        <w:t xml:space="preserve">Approvazione Bilancio Consuntivo anno 2019. </w:t>
      </w:r>
    </w:p>
    <w:p w:rsidR="00FC49A2" w:rsidRPr="00DA67EF" w:rsidRDefault="00FC49A2" w:rsidP="00FC49A2">
      <w:pPr>
        <w:tabs>
          <w:tab w:val="left" w:pos="142"/>
        </w:tabs>
        <w:suppressAutoHyphens w:val="0"/>
        <w:spacing w:line="256" w:lineRule="auto"/>
        <w:ind w:right="-143"/>
        <w:jc w:val="both"/>
        <w:rPr>
          <w:sz w:val="24"/>
          <w:szCs w:val="24"/>
          <w:lang w:eastAsia="it-IT"/>
        </w:rPr>
      </w:pPr>
      <w:r w:rsidRPr="00DA67EF">
        <w:rPr>
          <w:sz w:val="24"/>
          <w:szCs w:val="24"/>
          <w:lang w:eastAsia="it-IT"/>
        </w:rPr>
        <w:t>Esaminato lo schema del Conto Preventivo 201</w:t>
      </w:r>
      <w:r>
        <w:rPr>
          <w:sz w:val="24"/>
          <w:szCs w:val="24"/>
          <w:lang w:eastAsia="it-IT"/>
        </w:rPr>
        <w:t>9</w:t>
      </w:r>
      <w:r w:rsidRPr="00DA67EF">
        <w:rPr>
          <w:sz w:val="24"/>
          <w:szCs w:val="24"/>
          <w:lang w:eastAsia="it-IT"/>
        </w:rPr>
        <w:t>;</w:t>
      </w:r>
    </w:p>
    <w:p w:rsidR="00FC49A2" w:rsidRPr="00DA67EF" w:rsidRDefault="00FC49A2" w:rsidP="00FC49A2">
      <w:pPr>
        <w:spacing w:line="100" w:lineRule="atLeast"/>
        <w:ind w:right="-54"/>
        <w:rPr>
          <w:sz w:val="24"/>
          <w:szCs w:val="24"/>
        </w:rPr>
      </w:pPr>
      <w:r w:rsidRPr="00DA67EF">
        <w:rPr>
          <w:sz w:val="24"/>
          <w:szCs w:val="24"/>
        </w:rPr>
        <w:t>Visti il DLCPS 13/9/1946 n. 233 e il DPR 5/4/1950 n. 221;</w:t>
      </w:r>
    </w:p>
    <w:p w:rsidR="00FC49A2" w:rsidRPr="00DA67EF" w:rsidRDefault="00FC49A2" w:rsidP="00FC49A2">
      <w:pPr>
        <w:suppressAutoHyphens w:val="0"/>
        <w:ind w:left="-180" w:right="-54"/>
        <w:rPr>
          <w:sz w:val="24"/>
          <w:szCs w:val="24"/>
          <w:lang w:eastAsia="it-IT"/>
        </w:rPr>
      </w:pPr>
      <w:r w:rsidRPr="00DA67EF">
        <w:rPr>
          <w:sz w:val="24"/>
          <w:szCs w:val="24"/>
          <w:lang w:eastAsia="it-IT"/>
        </w:rPr>
        <w:tab/>
      </w:r>
      <w:r w:rsidRPr="00DA67EF">
        <w:rPr>
          <w:sz w:val="24"/>
          <w:szCs w:val="24"/>
          <w:lang w:eastAsia="it-IT"/>
        </w:rPr>
        <w:tab/>
      </w:r>
      <w:r w:rsidRPr="00DA67EF">
        <w:rPr>
          <w:sz w:val="24"/>
          <w:szCs w:val="24"/>
          <w:lang w:eastAsia="it-IT"/>
        </w:rPr>
        <w:tab/>
      </w:r>
      <w:r w:rsidRPr="00DA67EF">
        <w:rPr>
          <w:sz w:val="24"/>
          <w:szCs w:val="24"/>
          <w:lang w:eastAsia="it-IT"/>
        </w:rPr>
        <w:tab/>
      </w:r>
      <w:r w:rsidRPr="00DA67EF">
        <w:rPr>
          <w:sz w:val="24"/>
          <w:szCs w:val="24"/>
          <w:lang w:eastAsia="it-IT"/>
        </w:rPr>
        <w:tab/>
      </w:r>
      <w:r w:rsidRPr="00DA67EF">
        <w:rPr>
          <w:sz w:val="24"/>
          <w:szCs w:val="24"/>
          <w:lang w:eastAsia="it-IT"/>
        </w:rPr>
        <w:tab/>
      </w:r>
      <w:proofErr w:type="gramStart"/>
      <w:r w:rsidRPr="00DA67EF">
        <w:rPr>
          <w:b/>
          <w:sz w:val="24"/>
          <w:szCs w:val="24"/>
          <w:lang w:eastAsia="it-IT"/>
        </w:rPr>
        <w:t>il</w:t>
      </w:r>
      <w:proofErr w:type="gramEnd"/>
      <w:r w:rsidRPr="00DA67EF">
        <w:rPr>
          <w:b/>
          <w:sz w:val="24"/>
          <w:szCs w:val="24"/>
          <w:lang w:eastAsia="it-IT"/>
        </w:rPr>
        <w:t xml:space="preserve"> Consiglio delibera</w:t>
      </w:r>
    </w:p>
    <w:p w:rsidR="00FC49A2" w:rsidRPr="00DA67EF" w:rsidRDefault="00FC49A2" w:rsidP="00FC49A2">
      <w:pPr>
        <w:tabs>
          <w:tab w:val="left" w:pos="180"/>
        </w:tabs>
        <w:suppressAutoHyphens w:val="0"/>
        <w:ind w:left="180" w:right="-54" w:hanging="966"/>
        <w:jc w:val="both"/>
        <w:rPr>
          <w:sz w:val="24"/>
          <w:szCs w:val="24"/>
          <w:lang w:eastAsia="it-IT"/>
        </w:rPr>
      </w:pPr>
      <w:r w:rsidRPr="00DA67EF">
        <w:rPr>
          <w:sz w:val="24"/>
          <w:szCs w:val="24"/>
          <w:lang w:eastAsia="it-IT"/>
        </w:rPr>
        <w:tab/>
      </w:r>
      <w:proofErr w:type="gramStart"/>
      <w:r w:rsidRPr="00DA67EF">
        <w:rPr>
          <w:sz w:val="24"/>
          <w:szCs w:val="24"/>
          <w:lang w:eastAsia="it-IT"/>
        </w:rPr>
        <w:t>di</w:t>
      </w:r>
      <w:proofErr w:type="gramEnd"/>
      <w:r w:rsidRPr="00DA67EF">
        <w:rPr>
          <w:sz w:val="24"/>
          <w:szCs w:val="24"/>
          <w:lang w:eastAsia="it-IT"/>
        </w:rPr>
        <w:t xml:space="preserve"> approvare all’unanimità il Bilancio Consuntivo 201</w:t>
      </w:r>
      <w:r>
        <w:rPr>
          <w:sz w:val="24"/>
          <w:szCs w:val="24"/>
          <w:lang w:eastAsia="it-IT"/>
        </w:rPr>
        <w:t>9</w:t>
      </w:r>
      <w:r w:rsidRPr="00DA67EF">
        <w:rPr>
          <w:sz w:val="24"/>
          <w:szCs w:val="24"/>
          <w:lang w:eastAsia="it-IT"/>
        </w:rPr>
        <w:t xml:space="preserve"> e di sottoporlo all’approvazione del Collegio dei Revisori dei Conti e all’approvazione dell’Assemblea dei Medici Chirurghi e degli Odontoiatri della Provincia di Ascoli Piceno iscritti nei rispettivi Albi.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sz w:val="24"/>
          <w:szCs w:val="24"/>
          <w:lang w:eastAsia="it-IT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0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3EED">
        <w:rPr>
          <w:rFonts w:ascii="Times New Roman" w:hAnsi="Times New Roman" w:cs="Times New Roman"/>
          <w:b/>
          <w:iCs/>
          <w:sz w:val="24"/>
          <w:szCs w:val="24"/>
        </w:rPr>
        <w:t xml:space="preserve">Delibera di modifica dell’art. 1 e art. 22 del Regolamento per l’amministrazione e la contabilità dell’Ordine del 22/03/2005 ai sensi dell’art. 38 DPR 97/2003 e relative Comunicazioni della </w:t>
      </w:r>
      <w:proofErr w:type="spellStart"/>
      <w:r w:rsidRPr="00833EED">
        <w:rPr>
          <w:rFonts w:ascii="Times New Roman" w:hAnsi="Times New Roman" w:cs="Times New Roman"/>
          <w:b/>
          <w:iCs/>
          <w:sz w:val="24"/>
          <w:szCs w:val="24"/>
        </w:rPr>
        <w:t>FNOMCeO</w:t>
      </w:r>
      <w:proofErr w:type="spellEnd"/>
      <w:r w:rsidRPr="00833EE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Il Presidente, unitamente con il Tesoriere, riferisce sull’argomento.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Illustra che a seguito delle Comunicazioni n. 107 e n. 109 pervenute dalla Federazione Nazionale degli Ordini dei Medici Chirurghi e Odontoiatri, si rende necessario modificare l’Art. 1 co. 2 e l’Art. 22 co. 5. del Regolamento per l’Amministrazione e la Contabilità adottato con delibera del Consiglio dell’Ordine il 22/03/2005.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 xml:space="preserve">Nelle suddette comunicazioni la </w:t>
      </w:r>
      <w:proofErr w:type="spellStart"/>
      <w:r w:rsidRPr="00D022C2">
        <w:rPr>
          <w:rFonts w:eastAsiaTheme="minorHAnsi"/>
          <w:sz w:val="24"/>
          <w:szCs w:val="24"/>
          <w:lang w:eastAsia="en-US"/>
        </w:rPr>
        <w:t>FNOMCeO</w:t>
      </w:r>
      <w:proofErr w:type="spellEnd"/>
      <w:r w:rsidRPr="00D022C2">
        <w:rPr>
          <w:rFonts w:eastAsiaTheme="minorHAnsi"/>
          <w:sz w:val="24"/>
          <w:szCs w:val="24"/>
          <w:lang w:eastAsia="en-US"/>
        </w:rPr>
        <w:t xml:space="preserve"> ha evidenziato che sia a seguito dell’equiparazione dello stato giuridico e del trattamento economico del personale degli Ordini professionali a quello degli enti di cui alla Legge n. 70/75, sia la lettura sistematica delle norme che si sono succedute, hanno esteso l’ambito di applicazione delle disposizioni di cui alla Legge 70/75 e del DPR 97/2003 a tutti gli enti pubblici non economici compresi gli Ordini professionali.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Pertanto ai sensi dell’art. 38 del DPR 97/2003 recante “Regolamento per l’amministrazione e la contabilità degli enti pubblici di cui alla Legge 20/03/1975 n. 70”, non è più possibile che l’Assemblea Annuale dell’Ordine approvi i propri Bilanci, Preventivo e Consuntivo, entro il 31/12 di ogni anno e che quindi sia il Bilancio Preventivo sia il Bilancio Consuntivo devono essere approvati dall’Assemblea Annuale dell’Ordine entro il 30/04 di ogni anno.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Per quanto sopra: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Visto l’art. 38 del DPR 97/2003 recante “Regolamento per l’amministrazione e la contabilità degli enti pubblici di cui alla Legge 20/03/1975 n. 70”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 xml:space="preserve">Visto l’art. 35 del DPR 05/04/1950 n. 221 recante la disposizione che i regolamenti interni degli Ordini devono essere deliberati dal Consiglio Direttivo e sono soggetti all’approvazione della competente Federazione Nazionale </w:t>
      </w: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IL CONSIGLIO DIRETTIVO DELIBERA le seguenti modificazioni dell’attuale Regolamento per l’Amministrazione e la Contabilità adottato con delibera del Consiglio dell’Ordine il 22/03/2005:</w:t>
      </w:r>
    </w:p>
    <w:p w:rsidR="00FC49A2" w:rsidRPr="00D022C2" w:rsidRDefault="00FC49A2" w:rsidP="00FC49A2">
      <w:pPr>
        <w:numPr>
          <w:ilvl w:val="0"/>
          <w:numId w:val="5"/>
        </w:numPr>
        <w:suppressAutoHyphens w:val="0"/>
        <w:spacing w:after="160" w:line="25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All’articolo 1 co. 2 sono apportate le seguenti modificazioni: “Il bilancio di previsione è sottoposto all’approvazione del</w:t>
      </w:r>
      <w:r>
        <w:rPr>
          <w:rFonts w:eastAsiaTheme="minorHAnsi"/>
          <w:sz w:val="24"/>
          <w:szCs w:val="24"/>
          <w:lang w:eastAsia="en-US"/>
        </w:rPr>
        <w:t>l’Assemblea entro il 30 aprile.</w:t>
      </w:r>
    </w:p>
    <w:p w:rsidR="00FC49A2" w:rsidRPr="00D022C2" w:rsidRDefault="00FC49A2" w:rsidP="00FC49A2">
      <w:pPr>
        <w:suppressAutoHyphens w:val="0"/>
        <w:spacing w:after="160" w:line="25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FC49A2" w:rsidRPr="00D022C2" w:rsidRDefault="00FC49A2" w:rsidP="00FC49A2">
      <w:pPr>
        <w:numPr>
          <w:ilvl w:val="0"/>
          <w:numId w:val="5"/>
        </w:numPr>
        <w:suppressAutoHyphens w:val="0"/>
        <w:spacing w:after="160" w:line="25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All’articolo 22 co. 5 sono apportate le seguenti modificazioni: “Il conto consuntivo è deliberato dal Consiglio Direttivo entro il mese di aprile successivo alla chiusura dell’esercizio finanziario ed è sottoposto all’approvazione dell’Assemblea degli iscritti unitamente al bilancio preventivo entro il 30 aprile”.</w:t>
      </w:r>
    </w:p>
    <w:p w:rsidR="00FC49A2" w:rsidRPr="00D022C2" w:rsidRDefault="00FC49A2" w:rsidP="00FC49A2">
      <w:pPr>
        <w:suppressAutoHyphens w:val="0"/>
        <w:spacing w:after="160" w:line="25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FC49A2" w:rsidRPr="00D022C2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>Le modificazioni di cui sopra sostituiscono i commi degli articoli di riferimento e diventano parte integrante del Regolamento per l’Amministrazione e la Contabilità adottato con delibera del Consiglio dell’Ordine il 22/03/2005.</w:t>
      </w:r>
    </w:p>
    <w:p w:rsidR="00FC49A2" w:rsidRPr="002D09A4" w:rsidRDefault="00FC49A2" w:rsidP="00FC49A2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  <w:r w:rsidRPr="00D022C2">
        <w:rPr>
          <w:rFonts w:eastAsiaTheme="minorHAnsi"/>
          <w:sz w:val="24"/>
          <w:szCs w:val="24"/>
          <w:lang w:eastAsia="en-US"/>
        </w:rPr>
        <w:t xml:space="preserve">Copia della presente delibera di revisione del Regolamento per l’Amministrazione e la Contabilità è inviata alla </w:t>
      </w:r>
      <w:proofErr w:type="spellStart"/>
      <w:r w:rsidRPr="00D022C2">
        <w:rPr>
          <w:rFonts w:eastAsiaTheme="minorHAnsi"/>
          <w:sz w:val="24"/>
          <w:szCs w:val="24"/>
          <w:lang w:eastAsia="en-US"/>
        </w:rPr>
        <w:t>FNOMCeO</w:t>
      </w:r>
      <w:proofErr w:type="spellEnd"/>
      <w:r w:rsidRPr="00D022C2">
        <w:rPr>
          <w:rFonts w:eastAsiaTheme="minorHAnsi"/>
          <w:sz w:val="24"/>
          <w:szCs w:val="24"/>
          <w:lang w:eastAsia="en-US"/>
        </w:rPr>
        <w:t xml:space="preserve"> per l’approvazione.</w:t>
      </w:r>
    </w:p>
    <w:p w:rsidR="00FC49A2" w:rsidRPr="002D09A4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sz w:val="24"/>
          <w:szCs w:val="24"/>
        </w:rPr>
      </w:pPr>
    </w:p>
    <w:p w:rsidR="00FC49A2" w:rsidRPr="00833EED" w:rsidRDefault="00FC49A2" w:rsidP="00833EED">
      <w:pPr>
        <w:pStyle w:val="Paragrafoelenco"/>
        <w:numPr>
          <w:ilvl w:val="0"/>
          <w:numId w:val="11"/>
        </w:numPr>
        <w:tabs>
          <w:tab w:val="left" w:pos="142"/>
        </w:tabs>
        <w:spacing w:line="254" w:lineRule="auto"/>
        <w:ind w:right="-143"/>
        <w:jc w:val="both"/>
        <w:rPr>
          <w:rFonts w:ascii="Times New Roman" w:hAnsi="Times New Roman" w:cs="Times New Roman"/>
          <w:b/>
          <w:sz w:val="24"/>
          <w:lang w:eastAsia="it-IT"/>
        </w:rPr>
      </w:pPr>
      <w:r w:rsidRPr="00833EED">
        <w:rPr>
          <w:rFonts w:ascii="Times New Roman" w:hAnsi="Times New Roman" w:cs="Times New Roman"/>
          <w:b/>
          <w:sz w:val="24"/>
          <w:lang w:eastAsia="it-IT"/>
        </w:rPr>
        <w:lastRenderedPageBreak/>
        <w:t>Approvazione deroga momentanea della data della riunione dell’Assemblea Ordinaria per l’approvazione del Bilancio Consuntivo 2019.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 w:rsidRPr="00E557C1">
        <w:rPr>
          <w:iCs/>
          <w:sz w:val="24"/>
          <w:szCs w:val="24"/>
        </w:rPr>
        <w:t xml:space="preserve">Il Consiglio dell’Ordine prende atto che coerentemente al D.L. 18/2020 (misure Anti Covid-19), il termine di adozione del rendiconto relativo all’esercizio </w:t>
      </w:r>
      <w:r>
        <w:rPr>
          <w:iCs/>
          <w:sz w:val="24"/>
          <w:szCs w:val="24"/>
        </w:rPr>
        <w:t>2019 è differito al 30/06/2020.</w:t>
      </w:r>
    </w:p>
    <w:p w:rsidR="00FC49A2" w:rsidRPr="00833EED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Delibera di assenza di detenzione di partecipazione sia in forma diretta che indiretta.</w:t>
      </w:r>
      <w:r w:rsidRPr="00833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3EED">
        <w:rPr>
          <w:rFonts w:ascii="Times New Roman" w:hAnsi="Times New Roman" w:cs="Times New Roman"/>
          <w:b/>
          <w:iCs/>
          <w:sz w:val="24"/>
          <w:szCs w:val="24"/>
        </w:rPr>
        <w:t>ex</w:t>
      </w:r>
      <w:proofErr w:type="gramEnd"/>
      <w:r w:rsidRPr="00833EED">
        <w:rPr>
          <w:rFonts w:ascii="Times New Roman" w:hAnsi="Times New Roman" w:cs="Times New Roman"/>
          <w:b/>
          <w:iCs/>
          <w:sz w:val="24"/>
          <w:szCs w:val="24"/>
        </w:rPr>
        <w:t xml:space="preserve"> D.Lgs.19 agosto 2016 n. 175. </w:t>
      </w:r>
    </w:p>
    <w:p w:rsidR="00FC49A2" w:rsidRPr="000F65A6" w:rsidRDefault="00FC49A2" w:rsidP="00FC49A2">
      <w:pPr>
        <w:tabs>
          <w:tab w:val="left" w:pos="142"/>
        </w:tabs>
        <w:spacing w:line="100" w:lineRule="atLeast"/>
        <w:ind w:right="-143"/>
        <w:jc w:val="both"/>
        <w:rPr>
          <w:sz w:val="24"/>
        </w:rPr>
      </w:pP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VISTO il decreto legislativo del Capo Provvisorio dello Stato 13/09/1946 n. 233 come modificato dalla legge 11/01/2018 n.3;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VISTA la nota del MEF del 22/02/2019 recante “Revisione periodica delle partecipazioni pubbliche (art. 20 del D. </w:t>
      </w:r>
      <w:proofErr w:type="spellStart"/>
      <w:r w:rsidRPr="000F65A6">
        <w:rPr>
          <w:rFonts w:eastAsiaTheme="minorHAnsi"/>
          <w:color w:val="000000"/>
          <w:sz w:val="24"/>
          <w:szCs w:val="24"/>
          <w:lang w:eastAsia="en-US"/>
        </w:rPr>
        <w:t>Lgs</w:t>
      </w:r>
      <w:proofErr w:type="spellEnd"/>
      <w:r w:rsidRPr="000F65A6">
        <w:rPr>
          <w:rFonts w:eastAsiaTheme="minorHAnsi"/>
          <w:color w:val="000000"/>
          <w:sz w:val="24"/>
          <w:szCs w:val="24"/>
          <w:lang w:eastAsia="en-US"/>
        </w:rPr>
        <w:t>. n.175/2019) e censimento delle partecipazioni e dei rappresentanti in organi di governo di società ed enti al 31/12/2017 (art. 17del D.L. n. 90/2014)”;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VISTO il decreto legislativo 19/08/2016 n. 175 e </w:t>
      </w:r>
      <w:proofErr w:type="spellStart"/>
      <w:r w:rsidRPr="000F65A6">
        <w:rPr>
          <w:rFonts w:eastAsiaTheme="minorHAnsi"/>
          <w:color w:val="000000"/>
          <w:sz w:val="24"/>
          <w:szCs w:val="24"/>
          <w:lang w:eastAsia="en-US"/>
        </w:rPr>
        <w:t>s.m.i.</w:t>
      </w:r>
      <w:proofErr w:type="spellEnd"/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 (Testo unico in materia di società a partecipazione pubbliche);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VISTO l’art. 17 co. 4 del D.L. 24/06/2014 n. 90 che prevede che “a decorrere dal 1^ gennaio 2015, il Ministero dell’Economia e delle Finanze acquisisce le informazioni relative alle partecipazioni in società ed enti di diritto pubblico e di diritto privato detenute direttamente o indirettamente dalle amministrazioni pubbliche individuate dall’istituto nazionale di statistica ai sensi dell’art. 1 della legge 31/12/2009 n. 196 e successive modificazioni, e da quelle di cui all’art. 1 co. 2 del decreto legislativo 30/03/2001 n. 165 e successive modificazioni… Omissis…”;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VISTO che l’art. 1 co. 2 del D. </w:t>
      </w:r>
      <w:proofErr w:type="spellStart"/>
      <w:r w:rsidRPr="000F65A6">
        <w:rPr>
          <w:rFonts w:eastAsiaTheme="minorHAnsi"/>
          <w:color w:val="000000"/>
          <w:sz w:val="24"/>
          <w:szCs w:val="24"/>
          <w:lang w:eastAsia="en-US"/>
        </w:rPr>
        <w:t>Lgs</w:t>
      </w:r>
      <w:proofErr w:type="spellEnd"/>
      <w:r w:rsidRPr="000F65A6">
        <w:rPr>
          <w:rFonts w:eastAsiaTheme="minorHAnsi"/>
          <w:color w:val="000000"/>
          <w:sz w:val="24"/>
          <w:szCs w:val="24"/>
          <w:lang w:eastAsia="en-US"/>
        </w:rPr>
        <w:t>. n. 165 del 2001, dispone che “ per amministrazioni pubbliche si intendono tutte le amministrazioni dello Stato, ivi compresi gli istituti e scuole di ogni ordine e grado e le istituzioni educative, le aziende ed amministrazioni dello Stato ad ordinamento autonomo, le regioni, le Province, i Comuni, le Comunità montane, e loro consorzi e associazioni, le istituzioni universitarie, gli istituti autonomi case popolari, le camere di Commercio, industria, artigianato e agricoltura e loro associazioni, tutti gli enti pubblici non economici nazionali, regionali e locali, le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proofErr w:type="gramStart"/>
      <w:r w:rsidRPr="000F65A6">
        <w:rPr>
          <w:rFonts w:eastAsiaTheme="minorHAnsi"/>
          <w:color w:val="000000"/>
          <w:sz w:val="24"/>
          <w:szCs w:val="24"/>
          <w:lang w:eastAsia="en-US"/>
        </w:rPr>
        <w:t>amministrazioni,le</w:t>
      </w:r>
      <w:proofErr w:type="spellEnd"/>
      <w:proofErr w:type="gramEnd"/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 aziende e gli enti del Servizio Sanitario Nazionale, l’Agenzia per la rappresentanza negoziale delle pubbliche amministrazioni (ARAN) e le Agenzie di cui al decreto legislativo 30/07/1999 n. 300. Fino alla revisione organica della disciplina di settore, le disposizioni di cui al presente decreto continuano ad applicarsi anche al CONI”;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CONSIDERATO che la legge 11/01/2018 n. 3 ha stabilito che gli Ordini delle professioni sanitarie sono enti pubblici non economici e agiscono quali organi sussidiari dello Stato al fine di tutelare gli interessi pubblici, garantiti dall’ordinamento, connessi all’esercizio professionale;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TENUTO CONTO che le amministrazioni pubbliche rientranti nel campo di applicazione del TUSP di cui al D. </w:t>
      </w:r>
      <w:proofErr w:type="spellStart"/>
      <w:r w:rsidRPr="000F65A6">
        <w:rPr>
          <w:rFonts w:eastAsiaTheme="minorHAnsi"/>
          <w:color w:val="000000"/>
          <w:sz w:val="24"/>
          <w:szCs w:val="24"/>
          <w:lang w:eastAsia="en-US"/>
        </w:rPr>
        <w:t>Lgs</w:t>
      </w:r>
      <w:proofErr w:type="spellEnd"/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. 19/08/2016 n. 175 (Testo Unico in materia di società a partecipazione pubbliche) sono quelle indicate nell’art. 1 co. 2 del D. </w:t>
      </w:r>
      <w:proofErr w:type="spellStart"/>
      <w:r w:rsidRPr="000F65A6">
        <w:rPr>
          <w:rFonts w:eastAsiaTheme="minorHAnsi"/>
          <w:color w:val="000000"/>
          <w:sz w:val="24"/>
          <w:szCs w:val="24"/>
          <w:lang w:eastAsia="en-US"/>
        </w:rPr>
        <w:t>Lgs</w:t>
      </w:r>
      <w:proofErr w:type="spellEnd"/>
      <w:r w:rsidRPr="000F65A6">
        <w:rPr>
          <w:rFonts w:eastAsiaTheme="minorHAnsi"/>
          <w:color w:val="000000"/>
          <w:sz w:val="24"/>
          <w:szCs w:val="24"/>
          <w:lang w:eastAsia="en-US"/>
        </w:rPr>
        <w:t>. 30/03/2001n. 165;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CONSIDERATO che l’Ordine, in quanto Ente pubblico non economico, rientra nel campo di applicazione del TUSP e deve procedere alla relativa comunicazione, anche se attestante la non detenzione di partecipazioni in società, attraverso l’applicativo Partecipazioni del Portale </w:t>
      </w:r>
      <w:r w:rsidRPr="000F65A6">
        <w:rPr>
          <w:rFonts w:eastAsiaTheme="minorHAnsi"/>
          <w:color w:val="0563C2"/>
          <w:sz w:val="24"/>
          <w:szCs w:val="24"/>
          <w:lang w:eastAsia="en-US"/>
        </w:rPr>
        <w:t>https://portaletesoro.mef.gov.it</w:t>
      </w:r>
      <w:r w:rsidRPr="000F65A6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CONSIDERATO che questa Amministrazione non detiene partecipazioni, né in forma diretta né indiretta;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RITENUTA la necessità di adempiere al disposto normativo attraverso apposito provvedimento di dichiarazione di assenza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0F65A6">
        <w:rPr>
          <w:rFonts w:eastAsiaTheme="minorHAnsi"/>
          <w:color w:val="000000"/>
          <w:sz w:val="24"/>
          <w:szCs w:val="24"/>
          <w:lang w:eastAsia="en-US"/>
        </w:rPr>
        <w:t>di</w:t>
      </w:r>
      <w:proofErr w:type="gramEnd"/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 partecipazioni, così come indicato nella nota del MEF del 22/02/2019;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DELIBERA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t>Di dare atto dell’assenza di detenzione di partecipazione sia in forma diretta che indiretta;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0F65A6">
        <w:rPr>
          <w:rFonts w:eastAsiaTheme="minorHAnsi"/>
          <w:color w:val="000000"/>
          <w:sz w:val="24"/>
          <w:szCs w:val="24"/>
          <w:lang w:eastAsia="en-US"/>
        </w:rPr>
        <w:t>di</w:t>
      </w:r>
      <w:proofErr w:type="gramEnd"/>
      <w:r w:rsidRPr="000F65A6">
        <w:rPr>
          <w:rFonts w:eastAsiaTheme="minorHAnsi"/>
          <w:color w:val="000000"/>
          <w:sz w:val="24"/>
          <w:szCs w:val="24"/>
          <w:lang w:eastAsia="en-US"/>
        </w:rPr>
        <w:t xml:space="preserve"> inoltrare la presente deliberazione ai fini della dichiarazione di assenza di partecipazione, sull’applicativo Partecipazioni del Portale del Tesoro;</w:t>
      </w:r>
    </w:p>
    <w:p w:rsidR="00FC49A2" w:rsidRPr="000F65A6" w:rsidRDefault="00FC49A2" w:rsidP="00FC49A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F65A6">
        <w:rPr>
          <w:rFonts w:eastAsiaTheme="minorHAnsi"/>
          <w:color w:val="000000"/>
          <w:sz w:val="24"/>
          <w:szCs w:val="24"/>
          <w:lang w:eastAsia="en-US"/>
        </w:rPr>
        <w:lastRenderedPageBreak/>
        <w:t>Il presente provvedimento non comporta impegno di spesa.</w:t>
      </w:r>
    </w:p>
    <w:p w:rsidR="00FC49A2" w:rsidRPr="000F65A6" w:rsidRDefault="00FC49A2" w:rsidP="00FC49A2">
      <w:pPr>
        <w:suppressAutoHyphens w:val="0"/>
        <w:rPr>
          <w:lang w:eastAsia="it-IT"/>
        </w:rPr>
      </w:pPr>
    </w:p>
    <w:p w:rsidR="00FC49A2" w:rsidRPr="00833EED" w:rsidRDefault="00FC49A2" w:rsidP="00FC49A2">
      <w:pPr>
        <w:widowControl w:val="0"/>
        <w:autoSpaceDE w:val="0"/>
        <w:autoSpaceDN w:val="0"/>
        <w:adjustRightInd w:val="0"/>
        <w:spacing w:line="252" w:lineRule="auto"/>
        <w:jc w:val="both"/>
        <w:rPr>
          <w:b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Delibera di affidamento alla dott.ssa </w:t>
      </w:r>
      <w:r w:rsidR="00833EED"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R.S.</w:t>
      </w:r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di incarico di supporto al funzionario dott.ssa </w:t>
      </w:r>
      <w:r w:rsidR="00833EED"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A.C.P.</w:t>
      </w:r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per l’invio al sistema SICO delle informazioni relative alle risorse finanziarie destinate al personale ex art. 60 D. </w:t>
      </w:r>
      <w:proofErr w:type="spellStart"/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Lgs</w:t>
      </w:r>
      <w:proofErr w:type="spellEnd"/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165/2001.</w:t>
      </w:r>
      <w:r w:rsidRPr="00833E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C49A2" w:rsidRDefault="00FC49A2" w:rsidP="00FC49A2">
      <w:pPr>
        <w:widowControl w:val="0"/>
        <w:autoSpaceDE w:val="0"/>
        <w:autoSpaceDN w:val="0"/>
        <w:adjustRightInd w:val="0"/>
        <w:spacing w:line="252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Il consiglio approva di affidare alla consulente del lavoro dott.ssa </w:t>
      </w:r>
      <w:r w:rsidR="00833EED">
        <w:rPr>
          <w:iCs/>
          <w:color w:val="000000"/>
          <w:sz w:val="24"/>
          <w:szCs w:val="24"/>
        </w:rPr>
        <w:t>R.S.</w:t>
      </w:r>
      <w:r>
        <w:rPr>
          <w:iCs/>
          <w:color w:val="000000"/>
          <w:sz w:val="24"/>
          <w:szCs w:val="24"/>
        </w:rPr>
        <w:t xml:space="preserve"> l’</w:t>
      </w:r>
      <w:r w:rsidRPr="00E57288">
        <w:rPr>
          <w:iCs/>
          <w:color w:val="000000"/>
          <w:sz w:val="24"/>
          <w:szCs w:val="24"/>
        </w:rPr>
        <w:t xml:space="preserve">incarico di supporto al funzionario dott.ssa </w:t>
      </w:r>
      <w:r w:rsidR="00833EED">
        <w:rPr>
          <w:iCs/>
          <w:color w:val="000000"/>
          <w:sz w:val="24"/>
          <w:szCs w:val="24"/>
        </w:rPr>
        <w:t>A.C.P.</w:t>
      </w:r>
      <w:r w:rsidRPr="00E57288">
        <w:rPr>
          <w:iCs/>
          <w:color w:val="000000"/>
          <w:sz w:val="24"/>
          <w:szCs w:val="24"/>
        </w:rPr>
        <w:t xml:space="preserve"> per l’invio al sistema SICO delle informazioni relative alle risorse finanziarie destinate al personale ex art. 60 D. </w:t>
      </w:r>
      <w:proofErr w:type="spellStart"/>
      <w:r w:rsidRPr="00E57288">
        <w:rPr>
          <w:iCs/>
          <w:color w:val="000000"/>
          <w:sz w:val="24"/>
          <w:szCs w:val="24"/>
        </w:rPr>
        <w:t>Lgs</w:t>
      </w:r>
      <w:proofErr w:type="spellEnd"/>
      <w:r w:rsidRPr="00E57288">
        <w:rPr>
          <w:iCs/>
          <w:color w:val="000000"/>
          <w:sz w:val="24"/>
          <w:szCs w:val="24"/>
        </w:rPr>
        <w:t>. 165/2001</w:t>
      </w:r>
    </w:p>
    <w:p w:rsidR="00FC49A2" w:rsidRPr="00AE5B73" w:rsidRDefault="00FC49A2" w:rsidP="00FC49A2">
      <w:pPr>
        <w:widowControl w:val="0"/>
        <w:autoSpaceDE w:val="0"/>
        <w:autoSpaceDN w:val="0"/>
        <w:adjustRightInd w:val="0"/>
        <w:spacing w:line="252" w:lineRule="auto"/>
        <w:jc w:val="both"/>
        <w:rPr>
          <w:b/>
          <w:iCs/>
          <w:color w:val="000000"/>
          <w:sz w:val="24"/>
          <w:szCs w:val="24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33E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Presa d’atto della installazione dell’erogatore di acqua minerale presso la Sede dell’Ordine.</w:t>
      </w:r>
    </w:p>
    <w:p w:rsidR="00FC49A2" w:rsidRDefault="00FC49A2" w:rsidP="00FC49A2">
      <w:pPr>
        <w:widowControl w:val="0"/>
        <w:autoSpaceDE w:val="0"/>
        <w:autoSpaceDN w:val="0"/>
        <w:adjustRightInd w:val="0"/>
        <w:spacing w:line="252" w:lineRule="auto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Consiglio dell’Ordine prende atto che presso la Sede dell’Ordine è stato installato per il tramite della Ditta Blu di Milano un erogatore di acqua minerale</w:t>
      </w:r>
      <w:r>
        <w:rPr>
          <w:i/>
          <w:iCs/>
          <w:color w:val="000000"/>
          <w:sz w:val="24"/>
          <w:szCs w:val="24"/>
        </w:rPr>
        <w:t xml:space="preserve">. </w:t>
      </w:r>
    </w:p>
    <w:p w:rsidR="00FC49A2" w:rsidRDefault="00FC49A2" w:rsidP="00FC49A2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iCs/>
          <w:color w:val="000000"/>
          <w:sz w:val="24"/>
          <w:szCs w:val="24"/>
        </w:rPr>
      </w:pPr>
      <w:r w:rsidRPr="00833EED">
        <w:rPr>
          <w:b/>
          <w:iCs/>
          <w:color w:val="000000"/>
          <w:sz w:val="24"/>
          <w:szCs w:val="24"/>
        </w:rPr>
        <w:t xml:space="preserve">Approvazione della Relazione del Responsabile della protezione dei dati anno 2019.  </w:t>
      </w:r>
    </w:p>
    <w:p w:rsidR="00FC49A2" w:rsidRPr="00AD515E" w:rsidRDefault="00FC49A2" w:rsidP="00FC49A2">
      <w:pPr>
        <w:tabs>
          <w:tab w:val="left" w:pos="142"/>
        </w:tabs>
        <w:suppressAutoHyphens w:val="0"/>
        <w:spacing w:line="256" w:lineRule="auto"/>
        <w:ind w:right="-143"/>
        <w:jc w:val="both"/>
        <w:rPr>
          <w:sz w:val="24"/>
          <w:lang w:eastAsia="it-IT"/>
        </w:rPr>
      </w:pPr>
      <w:r w:rsidRPr="00AD515E">
        <w:rPr>
          <w:sz w:val="24"/>
          <w:lang w:eastAsia="it-IT"/>
        </w:rPr>
        <w:t xml:space="preserve">Il Consiglio </w:t>
      </w:r>
      <w:r>
        <w:rPr>
          <w:sz w:val="24"/>
          <w:lang w:eastAsia="it-IT"/>
        </w:rPr>
        <w:t xml:space="preserve">approva </w:t>
      </w:r>
      <w:r w:rsidRPr="00AD515E">
        <w:rPr>
          <w:sz w:val="24"/>
          <w:lang w:eastAsia="it-IT"/>
        </w:rPr>
        <w:t xml:space="preserve">la relazione del Responsabile della Protezione dei dati, Dott. </w:t>
      </w:r>
      <w:proofErr w:type="gramStart"/>
      <w:r w:rsidR="00833EED">
        <w:rPr>
          <w:sz w:val="24"/>
          <w:lang w:eastAsia="it-IT"/>
        </w:rPr>
        <w:t>F,P.</w:t>
      </w:r>
      <w:proofErr w:type="gramEnd"/>
      <w:r w:rsidRPr="00AD515E">
        <w:rPr>
          <w:sz w:val="24"/>
          <w:lang w:eastAsia="it-IT"/>
        </w:rPr>
        <w:t xml:space="preserve"> relativa all’anno 201</w:t>
      </w:r>
      <w:r>
        <w:rPr>
          <w:sz w:val="24"/>
          <w:lang w:eastAsia="it-IT"/>
        </w:rPr>
        <w:t>9</w:t>
      </w:r>
      <w:r w:rsidRPr="00AD515E">
        <w:rPr>
          <w:sz w:val="24"/>
          <w:lang w:eastAsia="it-IT"/>
        </w:rPr>
        <w:t xml:space="preserve">. </w:t>
      </w:r>
    </w:p>
    <w:p w:rsidR="00833EED" w:rsidRPr="00833EED" w:rsidRDefault="00833EED" w:rsidP="00833EED">
      <w:pPr>
        <w:widowControl w:val="0"/>
        <w:tabs>
          <w:tab w:val="left" w:pos="1506"/>
        </w:tabs>
        <w:autoSpaceDE w:val="0"/>
        <w:autoSpaceDN w:val="0"/>
        <w:adjustRightInd w:val="0"/>
        <w:ind w:left="360" w:right="-143"/>
        <w:jc w:val="both"/>
        <w:rPr>
          <w:i/>
          <w:iCs/>
          <w:sz w:val="24"/>
          <w:szCs w:val="24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6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  <w:r w:rsidRPr="00833EED">
        <w:rPr>
          <w:b/>
          <w:iCs/>
          <w:sz w:val="24"/>
          <w:szCs w:val="24"/>
        </w:rPr>
        <w:t>Problematiche della Commissione Albo Odontoiatri.</w:t>
      </w:r>
      <w:r w:rsidRPr="00833EED">
        <w:rPr>
          <w:i/>
          <w:iCs/>
          <w:sz w:val="24"/>
          <w:szCs w:val="24"/>
        </w:rPr>
        <w:t xml:space="preserve"> 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  <w:r w:rsidRPr="00AD515E">
        <w:rPr>
          <w:iCs/>
          <w:sz w:val="24"/>
          <w:szCs w:val="24"/>
        </w:rPr>
        <w:t xml:space="preserve">Il Dr. </w:t>
      </w:r>
      <w:r w:rsidR="00833EED">
        <w:rPr>
          <w:iCs/>
          <w:sz w:val="24"/>
          <w:szCs w:val="24"/>
        </w:rPr>
        <w:t>A.P.</w:t>
      </w:r>
      <w:r w:rsidRPr="00AD515E">
        <w:rPr>
          <w:iCs/>
          <w:sz w:val="24"/>
          <w:szCs w:val="24"/>
        </w:rPr>
        <w:t xml:space="preserve"> espone le problematiche relative al fallimento delle cooperative </w:t>
      </w:r>
      <w:proofErr w:type="spellStart"/>
      <w:r>
        <w:rPr>
          <w:iCs/>
          <w:sz w:val="24"/>
          <w:szCs w:val="24"/>
        </w:rPr>
        <w:t>Dentix</w:t>
      </w:r>
      <w:proofErr w:type="spellEnd"/>
      <w:r>
        <w:rPr>
          <w:iCs/>
          <w:sz w:val="24"/>
          <w:szCs w:val="24"/>
        </w:rPr>
        <w:t>.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</w:p>
    <w:p w:rsidR="00FC49A2" w:rsidRPr="00833EED" w:rsidRDefault="00FC49A2" w:rsidP="00833EED">
      <w:pPr>
        <w:pStyle w:val="Paragrafoelenco"/>
        <w:widowControl w:val="0"/>
        <w:numPr>
          <w:ilvl w:val="0"/>
          <w:numId w:val="16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  <w:r w:rsidRPr="00833EED">
        <w:rPr>
          <w:b/>
          <w:iCs/>
          <w:sz w:val="24"/>
          <w:szCs w:val="24"/>
        </w:rPr>
        <w:t>Decisioni della Commissione Medica ed Odontoiatrica.</w:t>
      </w:r>
      <w:r w:rsidRPr="00833EED">
        <w:rPr>
          <w:i/>
          <w:iCs/>
          <w:sz w:val="24"/>
          <w:szCs w:val="24"/>
        </w:rPr>
        <w:t xml:space="preserve"> </w:t>
      </w:r>
    </w:p>
    <w:p w:rsidR="00FC49A2" w:rsidRPr="00536AA9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  <w:r w:rsidRPr="00536AA9">
        <w:rPr>
          <w:iCs/>
          <w:sz w:val="24"/>
          <w:szCs w:val="24"/>
        </w:rPr>
        <w:t xml:space="preserve">Il Dr. </w:t>
      </w:r>
      <w:r w:rsidR="00833EED">
        <w:rPr>
          <w:iCs/>
          <w:sz w:val="24"/>
          <w:szCs w:val="24"/>
        </w:rPr>
        <w:t>A.P.</w:t>
      </w:r>
      <w:r w:rsidRPr="00536AA9">
        <w:rPr>
          <w:iCs/>
          <w:sz w:val="24"/>
          <w:szCs w:val="24"/>
        </w:rPr>
        <w:t xml:space="preserve"> richiede l’util</w:t>
      </w:r>
      <w:r>
        <w:rPr>
          <w:iCs/>
          <w:sz w:val="24"/>
          <w:szCs w:val="24"/>
        </w:rPr>
        <w:t>izzo della sala dell'</w:t>
      </w:r>
      <w:r w:rsidRPr="00536AA9">
        <w:rPr>
          <w:iCs/>
          <w:sz w:val="24"/>
          <w:szCs w:val="24"/>
        </w:rPr>
        <w:t xml:space="preserve">Ordine per il 29 06 2020. </w:t>
      </w: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left="1364" w:right="-143" w:hanging="360"/>
        <w:jc w:val="both"/>
        <w:rPr>
          <w:i/>
          <w:iCs/>
          <w:color w:val="000000"/>
          <w:sz w:val="24"/>
          <w:szCs w:val="24"/>
        </w:rPr>
      </w:pPr>
    </w:p>
    <w:p w:rsidR="00FC49A2" w:rsidRDefault="00FC49A2" w:rsidP="00FC49A2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iCs/>
          <w:color w:val="000000"/>
          <w:sz w:val="24"/>
          <w:szCs w:val="24"/>
        </w:rPr>
      </w:pPr>
    </w:p>
    <w:p w:rsidR="00FC49A2" w:rsidRDefault="00FC49A2" w:rsidP="00FC49A2">
      <w:pPr>
        <w:suppressAutoHyphens w:val="0"/>
        <w:rPr>
          <w:lang w:eastAsia="it-IT"/>
        </w:rPr>
      </w:pPr>
    </w:p>
    <w:p w:rsidR="00FC49A2" w:rsidRDefault="00FC49A2" w:rsidP="00FC49A2">
      <w:pPr>
        <w:suppressAutoHyphens w:val="0"/>
        <w:rPr>
          <w:lang w:eastAsia="it-IT"/>
        </w:rPr>
      </w:pPr>
    </w:p>
    <w:sectPr w:rsidR="00FC4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BAB"/>
    <w:multiLevelType w:val="hybridMultilevel"/>
    <w:tmpl w:val="DBE6C6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D30"/>
    <w:multiLevelType w:val="hybridMultilevel"/>
    <w:tmpl w:val="1A521426"/>
    <w:lvl w:ilvl="0" w:tplc="696E4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0C25"/>
    <w:multiLevelType w:val="hybridMultilevel"/>
    <w:tmpl w:val="879A8F64"/>
    <w:lvl w:ilvl="0" w:tplc="A66E60F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D4C"/>
    <w:multiLevelType w:val="hybridMultilevel"/>
    <w:tmpl w:val="94F62F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48C0"/>
    <w:multiLevelType w:val="hybridMultilevel"/>
    <w:tmpl w:val="86501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5980"/>
    <w:multiLevelType w:val="hybridMultilevel"/>
    <w:tmpl w:val="B3DA3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970"/>
    <w:multiLevelType w:val="hybridMultilevel"/>
    <w:tmpl w:val="28E06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6C87"/>
    <w:multiLevelType w:val="hybridMultilevel"/>
    <w:tmpl w:val="62DE4F18"/>
    <w:lvl w:ilvl="0" w:tplc="38B8525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3037"/>
    <w:multiLevelType w:val="hybridMultilevel"/>
    <w:tmpl w:val="CB144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79B7"/>
    <w:multiLevelType w:val="hybridMultilevel"/>
    <w:tmpl w:val="68DE72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6E28"/>
    <w:multiLevelType w:val="hybridMultilevel"/>
    <w:tmpl w:val="E79CE9E2"/>
    <w:lvl w:ilvl="0" w:tplc="6484B324">
      <w:start w:val="1"/>
      <w:numFmt w:val="decimal"/>
      <w:lvlText w:val="%1-"/>
      <w:lvlJc w:val="left"/>
      <w:pPr>
        <w:ind w:left="720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660A"/>
    <w:multiLevelType w:val="hybridMultilevel"/>
    <w:tmpl w:val="D234A5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E5038"/>
    <w:multiLevelType w:val="hybridMultilevel"/>
    <w:tmpl w:val="BE74F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04C8"/>
    <w:multiLevelType w:val="hybridMultilevel"/>
    <w:tmpl w:val="8200C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240B4"/>
    <w:multiLevelType w:val="hybridMultilevel"/>
    <w:tmpl w:val="2884C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4320"/>
    <w:multiLevelType w:val="hybridMultilevel"/>
    <w:tmpl w:val="E62CA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C6"/>
    <w:rsid w:val="000F2F82"/>
    <w:rsid w:val="006762D8"/>
    <w:rsid w:val="006D71E1"/>
    <w:rsid w:val="00726305"/>
    <w:rsid w:val="00833EED"/>
    <w:rsid w:val="00DF42C3"/>
    <w:rsid w:val="00E33BC6"/>
    <w:rsid w:val="00E85C34"/>
    <w:rsid w:val="00EE4D30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DDB5-4BE6-467F-BFA9-4C371ADB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9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C49A2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9</cp:revision>
  <dcterms:created xsi:type="dcterms:W3CDTF">2022-05-24T12:54:00Z</dcterms:created>
  <dcterms:modified xsi:type="dcterms:W3CDTF">2022-06-20T09:53:00Z</dcterms:modified>
</cp:coreProperties>
</file>