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79" w:rsidRDefault="004C2579" w:rsidP="004C2579">
      <w:pPr>
        <w:rPr>
          <w:lang w:val="en-GB" w:eastAsia="ar-SA"/>
        </w:rPr>
      </w:pPr>
    </w:p>
    <w:p w:rsidR="004C2579" w:rsidRDefault="004C2579" w:rsidP="004C25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Ordine dei Medici Chirurghi e Odontoiatri</w:t>
      </w:r>
    </w:p>
    <w:p w:rsidR="004C2579" w:rsidRDefault="004C2579" w:rsidP="004C25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eastAsia="ar-SA"/>
        </w:rPr>
        <w:t>della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Provincia di Ascoli Piceno</w:t>
      </w:r>
    </w:p>
    <w:p w:rsidR="004C2579" w:rsidRDefault="004C2579" w:rsidP="004C2579">
      <w:pPr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C2579" w:rsidRDefault="000D1C98" w:rsidP="004C2579">
      <w:pPr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Decisione della riunione del Consiglio Direttivo del 21/12/2022</w:t>
      </w:r>
    </w:p>
    <w:p w:rsidR="00F969FA" w:rsidRDefault="00F969FA" w:rsidP="004C2579">
      <w:pPr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C2579" w:rsidRPr="00F969FA" w:rsidRDefault="004C2579" w:rsidP="00F969FA">
      <w:pPr>
        <w:pStyle w:val="Paragrafoelenco"/>
        <w:widowControl w:val="0"/>
        <w:numPr>
          <w:ilvl w:val="0"/>
          <w:numId w:val="10"/>
        </w:numPr>
        <w:tabs>
          <w:tab w:val="left" w:pos="1506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F969F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Comunicazioni del Presidente.</w:t>
      </w:r>
    </w:p>
    <w:p w:rsidR="004C2579" w:rsidRDefault="004C2579" w:rsidP="004C2579">
      <w:p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Il Presidente comunica la prospettiva di proroga dei contributi ordinari e straordinari per gli OMCeO da parte della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FNOMCeO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.</w:t>
      </w:r>
    </w:p>
    <w:p w:rsidR="004C2579" w:rsidRDefault="004C2579" w:rsidP="004C2579">
      <w:p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4C2579" w:rsidRDefault="004C2579" w:rsidP="004C2579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2579" w:rsidRPr="00F969FA" w:rsidRDefault="004C2579" w:rsidP="00F969FA">
      <w:pPr>
        <w:pStyle w:val="Paragrafoelenco"/>
        <w:numPr>
          <w:ilvl w:val="0"/>
          <w:numId w:val="10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F969F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</w:p>
    <w:p w:rsidR="004C2579" w:rsidRDefault="004C2579" w:rsidP="004C2579">
      <w:pPr>
        <w:pStyle w:val="Paragrafoelenco"/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4C2579" w:rsidRPr="00F969FA" w:rsidRDefault="004C2579" w:rsidP="003F4680">
      <w:pPr>
        <w:pStyle w:val="Paragrafoelenco"/>
        <w:keepNext/>
        <w:numPr>
          <w:ilvl w:val="0"/>
          <w:numId w:val="2"/>
        </w:numPr>
        <w:spacing w:after="0" w:line="240" w:lineRule="auto"/>
        <w:ind w:left="1080"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69FA">
        <w:rPr>
          <w:rFonts w:ascii="Times New Roman" w:hAnsi="Times New Roman" w:cs="Times New Roman"/>
          <w:sz w:val="24"/>
          <w:szCs w:val="24"/>
        </w:rPr>
        <w:t xml:space="preserve">Dott.ssa </w:t>
      </w:r>
      <w:proofErr w:type="spellStart"/>
      <w:r w:rsidRPr="00F969FA">
        <w:rPr>
          <w:rFonts w:ascii="Times New Roman" w:hAnsi="Times New Roman" w:cs="Times New Roman"/>
          <w:sz w:val="24"/>
          <w:szCs w:val="24"/>
        </w:rPr>
        <w:t>Felicioni</w:t>
      </w:r>
      <w:proofErr w:type="spellEnd"/>
      <w:r w:rsidRPr="00F969FA">
        <w:rPr>
          <w:rFonts w:ascii="Times New Roman" w:hAnsi="Times New Roman" w:cs="Times New Roman"/>
          <w:sz w:val="24"/>
          <w:szCs w:val="24"/>
        </w:rPr>
        <w:t xml:space="preserve"> Federica </w:t>
      </w:r>
    </w:p>
    <w:p w:rsidR="00F969FA" w:rsidRDefault="00F969FA" w:rsidP="004C2579">
      <w:pPr>
        <w:pStyle w:val="Paragrafoelenco"/>
        <w:keepNext/>
        <w:spacing w:after="0" w:line="240" w:lineRule="auto"/>
        <w:ind w:left="1080" w:right="-4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C2579" w:rsidRDefault="004C2579" w:rsidP="004C2579">
      <w:pPr>
        <w:pStyle w:val="Paragrafoelenco"/>
        <w:keepNext/>
        <w:spacing w:after="0" w:line="240" w:lineRule="auto"/>
        <w:ind w:left="1080" w:right="-4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</w:t>
      </w:r>
    </w:p>
    <w:p w:rsidR="004C2579" w:rsidRDefault="004C2579" w:rsidP="004C2579">
      <w:pPr>
        <w:pStyle w:val="Paragrafoelenco"/>
        <w:keepNext/>
        <w:spacing w:after="0" w:line="240" w:lineRule="auto"/>
        <w:ind w:left="1080" w:right="-4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cancellazione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dall'Albo dei Medici Chirurghi per decesso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di:</w:t>
      </w:r>
    </w:p>
    <w:p w:rsidR="00F969FA" w:rsidRDefault="004C2579" w:rsidP="004F5252">
      <w:pPr>
        <w:pStyle w:val="Paragrafoelenco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969FA">
        <w:rPr>
          <w:rFonts w:ascii="Times New Roman" w:hAnsi="Times New Roman" w:cs="Times New Roman"/>
          <w:sz w:val="24"/>
          <w:szCs w:val="24"/>
        </w:rPr>
        <w:t xml:space="preserve">Dott. Loffreda Marco </w:t>
      </w:r>
    </w:p>
    <w:p w:rsidR="00F969FA" w:rsidRDefault="004C2579" w:rsidP="00077302">
      <w:pPr>
        <w:pStyle w:val="Paragrafoelenco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969FA">
        <w:rPr>
          <w:rFonts w:ascii="Times New Roman" w:hAnsi="Times New Roman" w:cs="Times New Roman"/>
          <w:sz w:val="24"/>
          <w:szCs w:val="24"/>
        </w:rPr>
        <w:t xml:space="preserve">Prof. Altilia Filippo </w:t>
      </w:r>
    </w:p>
    <w:p w:rsidR="00F969FA" w:rsidRDefault="004C2579" w:rsidP="00377A7C">
      <w:pPr>
        <w:pStyle w:val="Paragrafoelenco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969FA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F969FA">
        <w:rPr>
          <w:rFonts w:ascii="Times New Roman" w:hAnsi="Times New Roman" w:cs="Times New Roman"/>
          <w:sz w:val="24"/>
          <w:szCs w:val="24"/>
        </w:rPr>
        <w:t>Rotili</w:t>
      </w:r>
      <w:proofErr w:type="spellEnd"/>
      <w:r w:rsidRPr="00F969FA">
        <w:rPr>
          <w:rFonts w:ascii="Times New Roman" w:hAnsi="Times New Roman" w:cs="Times New Roman"/>
          <w:sz w:val="24"/>
          <w:szCs w:val="24"/>
        </w:rPr>
        <w:t xml:space="preserve"> Vittorio </w:t>
      </w:r>
    </w:p>
    <w:p w:rsidR="00F969FA" w:rsidRDefault="004C2579" w:rsidP="00C57E09">
      <w:pPr>
        <w:pStyle w:val="Paragrafoelenco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969FA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F969FA">
        <w:rPr>
          <w:rFonts w:ascii="Times New Roman" w:hAnsi="Times New Roman" w:cs="Times New Roman"/>
          <w:sz w:val="24"/>
          <w:szCs w:val="24"/>
        </w:rPr>
        <w:t>Ripani</w:t>
      </w:r>
      <w:proofErr w:type="spellEnd"/>
      <w:r w:rsidRPr="00F969FA">
        <w:rPr>
          <w:rFonts w:ascii="Times New Roman" w:hAnsi="Times New Roman" w:cs="Times New Roman"/>
          <w:sz w:val="24"/>
          <w:szCs w:val="24"/>
        </w:rPr>
        <w:t xml:space="preserve"> Piero </w:t>
      </w:r>
    </w:p>
    <w:p w:rsidR="004C2579" w:rsidRDefault="004C2579" w:rsidP="00051E33">
      <w:pPr>
        <w:pStyle w:val="Paragrafoelenco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969FA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F969FA">
        <w:rPr>
          <w:rFonts w:ascii="Times New Roman" w:hAnsi="Times New Roman" w:cs="Times New Roman"/>
          <w:sz w:val="24"/>
          <w:szCs w:val="24"/>
        </w:rPr>
        <w:t>Falasca</w:t>
      </w:r>
      <w:proofErr w:type="spellEnd"/>
      <w:r w:rsidRPr="00F969FA">
        <w:rPr>
          <w:rFonts w:ascii="Times New Roman" w:hAnsi="Times New Roman" w:cs="Times New Roman"/>
          <w:sz w:val="24"/>
          <w:szCs w:val="24"/>
        </w:rPr>
        <w:t xml:space="preserve"> Zamponi </w:t>
      </w:r>
    </w:p>
    <w:p w:rsidR="00F969FA" w:rsidRPr="00F969FA" w:rsidRDefault="00F969FA" w:rsidP="00F969FA">
      <w:pPr>
        <w:pStyle w:val="Paragrafoelenco"/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C2579" w:rsidRDefault="004C2579" w:rsidP="004C2579">
      <w:pPr>
        <w:keepNext/>
        <w:spacing w:after="0" w:line="240" w:lineRule="auto"/>
        <w:ind w:left="720" w:right="-4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</w:t>
      </w:r>
    </w:p>
    <w:p w:rsidR="004C2579" w:rsidRDefault="004C2579" w:rsidP="004C2579">
      <w:p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cancellazione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dall'Albo dei Medici Chirurghi per dimissioni volontarie</w:t>
      </w:r>
    </w:p>
    <w:p w:rsidR="00DC68B7" w:rsidRDefault="004C2579" w:rsidP="0055469A">
      <w:pPr>
        <w:pStyle w:val="Paragrafoelenco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C68B7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DC68B7">
        <w:rPr>
          <w:rFonts w:ascii="Times New Roman" w:hAnsi="Times New Roman" w:cs="Times New Roman"/>
          <w:sz w:val="24"/>
          <w:szCs w:val="24"/>
        </w:rPr>
        <w:t>Striglioni</w:t>
      </w:r>
      <w:proofErr w:type="spellEnd"/>
      <w:r w:rsidRPr="00DC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7">
        <w:rPr>
          <w:rFonts w:ascii="Times New Roman" w:hAnsi="Times New Roman" w:cs="Times New Roman"/>
          <w:sz w:val="24"/>
          <w:szCs w:val="24"/>
        </w:rPr>
        <w:t>Ne’Tori</w:t>
      </w:r>
      <w:proofErr w:type="spellEnd"/>
      <w:r w:rsidRPr="00DC68B7">
        <w:rPr>
          <w:rFonts w:ascii="Times New Roman" w:hAnsi="Times New Roman" w:cs="Times New Roman"/>
          <w:sz w:val="24"/>
          <w:szCs w:val="24"/>
        </w:rPr>
        <w:t xml:space="preserve"> Tito </w:t>
      </w:r>
    </w:p>
    <w:p w:rsidR="004C2579" w:rsidRPr="00DC68B7" w:rsidRDefault="004C2579" w:rsidP="0055469A">
      <w:pPr>
        <w:pStyle w:val="Paragrafoelenco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C68B7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DC68B7">
        <w:rPr>
          <w:rFonts w:ascii="Times New Roman" w:hAnsi="Times New Roman" w:cs="Times New Roman"/>
          <w:sz w:val="24"/>
          <w:szCs w:val="24"/>
        </w:rPr>
        <w:t>Pacchioli</w:t>
      </w:r>
      <w:proofErr w:type="spellEnd"/>
      <w:r w:rsidRPr="00DC68B7">
        <w:rPr>
          <w:rFonts w:ascii="Times New Roman" w:hAnsi="Times New Roman" w:cs="Times New Roman"/>
          <w:sz w:val="24"/>
          <w:szCs w:val="24"/>
        </w:rPr>
        <w:t xml:space="preserve"> Raffaele </w:t>
      </w:r>
    </w:p>
    <w:p w:rsidR="00DC68B7" w:rsidRPr="00DC68B7" w:rsidRDefault="00DC68B7" w:rsidP="00DC68B7">
      <w:pPr>
        <w:pStyle w:val="Paragrafoelenco"/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C2579" w:rsidRDefault="004C2579" w:rsidP="004C2579">
      <w:pPr>
        <w:keepNext/>
        <w:spacing w:after="0" w:line="240" w:lineRule="auto"/>
        <w:ind w:left="720" w:right="-4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</w:t>
      </w:r>
    </w:p>
    <w:p w:rsidR="004C2579" w:rsidRDefault="004C2579" w:rsidP="004C2579">
      <w:p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cancellazione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dall'Albo degli Odontoiatri per dimissioni volontarie</w:t>
      </w:r>
    </w:p>
    <w:p w:rsidR="00DC68B7" w:rsidRDefault="004C2579" w:rsidP="004C2579">
      <w:p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Rocchetti Bruno </w:t>
      </w:r>
    </w:p>
    <w:p w:rsidR="00DC68B7" w:rsidRDefault="004C2579" w:rsidP="00DC68B7">
      <w:pPr>
        <w:spacing w:line="25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Striglioni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Ne’Tori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Tito </w:t>
      </w:r>
    </w:p>
    <w:p w:rsidR="004C2579" w:rsidRDefault="004C2579" w:rsidP="004C2579">
      <w:pPr>
        <w:pStyle w:val="Titolo2"/>
        <w:ind w:right="-54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Consiglio Delibera</w:t>
      </w:r>
    </w:p>
    <w:p w:rsidR="004C2579" w:rsidRDefault="004C2579" w:rsidP="004C2579">
      <w:pPr>
        <w:ind w:left="360" w:right="-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l’iscrizione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all’Albo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Medici Chirurghi </w:t>
      </w:r>
      <w:r>
        <w:rPr>
          <w:rFonts w:ascii="Times New Roman" w:hAnsi="Times New Roman" w:cs="Times New Roman"/>
          <w:sz w:val="24"/>
          <w:szCs w:val="24"/>
        </w:rPr>
        <w:t>dei Dottori:</w:t>
      </w:r>
    </w:p>
    <w:p w:rsidR="00DC68B7" w:rsidRDefault="004C2579" w:rsidP="007143C9">
      <w:pPr>
        <w:pStyle w:val="Paragrafoelenco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C68B7">
        <w:rPr>
          <w:rFonts w:ascii="Times New Roman" w:hAnsi="Times New Roman" w:cs="Times New Roman"/>
          <w:sz w:val="24"/>
          <w:szCs w:val="24"/>
        </w:rPr>
        <w:t xml:space="preserve"> Dott.ssa Postiglione Paola </w:t>
      </w:r>
    </w:p>
    <w:p w:rsidR="004C2579" w:rsidRDefault="004C2579" w:rsidP="00514DCE">
      <w:pPr>
        <w:pStyle w:val="Paragrafoelenco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C68B7">
        <w:rPr>
          <w:rFonts w:ascii="Times New Roman" w:hAnsi="Times New Roman" w:cs="Times New Roman"/>
          <w:sz w:val="24"/>
          <w:szCs w:val="24"/>
        </w:rPr>
        <w:t xml:space="preserve">Dott. Pellegrini Davide </w:t>
      </w:r>
    </w:p>
    <w:p w:rsidR="004C2579" w:rsidRDefault="004C2579" w:rsidP="004C2579">
      <w:pPr>
        <w:pStyle w:val="Titolo2"/>
        <w:ind w:right="-54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Consiglio Delibera</w:t>
      </w:r>
    </w:p>
    <w:p w:rsidR="004C2579" w:rsidRDefault="004C2579" w:rsidP="004C2579">
      <w:pPr>
        <w:ind w:left="360" w:right="-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l’iscrizione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all’Albo degli Odontoiatri </w:t>
      </w:r>
      <w:r>
        <w:rPr>
          <w:rFonts w:ascii="Times New Roman" w:hAnsi="Times New Roman" w:cs="Times New Roman"/>
          <w:sz w:val="24"/>
          <w:szCs w:val="24"/>
        </w:rPr>
        <w:t>di</w:t>
      </w:r>
    </w:p>
    <w:p w:rsidR="00DC68B7" w:rsidRDefault="004C2579" w:rsidP="00DC68B7">
      <w:pPr>
        <w:pStyle w:val="Paragrafoelenco"/>
        <w:spacing w:line="256" w:lineRule="auto"/>
        <w:ind w:left="7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Americo Lorenzo Maria </w:t>
      </w:r>
    </w:p>
    <w:p w:rsidR="00DC68B7" w:rsidRDefault="00DC68B7" w:rsidP="00DC68B7">
      <w:pPr>
        <w:pStyle w:val="Paragrafoelenco"/>
        <w:spacing w:line="256" w:lineRule="auto"/>
        <w:ind w:left="756"/>
        <w:rPr>
          <w:rFonts w:ascii="Times New Roman" w:hAnsi="Times New Roman" w:cs="Times New Roman"/>
          <w:sz w:val="24"/>
          <w:szCs w:val="24"/>
        </w:rPr>
      </w:pPr>
    </w:p>
    <w:p w:rsidR="00DC68B7" w:rsidRDefault="00DC68B7" w:rsidP="00DC68B7">
      <w:pPr>
        <w:pStyle w:val="Paragrafoelenco"/>
        <w:spacing w:line="256" w:lineRule="auto"/>
        <w:ind w:left="756"/>
        <w:rPr>
          <w:rFonts w:ascii="Times New Roman" w:hAnsi="Times New Roman" w:cs="Times New Roman"/>
          <w:sz w:val="24"/>
          <w:szCs w:val="24"/>
        </w:rPr>
      </w:pPr>
    </w:p>
    <w:p w:rsidR="00DC68B7" w:rsidRDefault="00DC68B7" w:rsidP="00DC68B7">
      <w:pPr>
        <w:pStyle w:val="Paragrafoelenco"/>
        <w:spacing w:line="256" w:lineRule="auto"/>
        <w:ind w:left="756"/>
        <w:rPr>
          <w:rFonts w:ascii="Times New Roman" w:hAnsi="Times New Roman" w:cs="Times New Roman"/>
          <w:sz w:val="24"/>
          <w:szCs w:val="24"/>
        </w:rPr>
      </w:pPr>
    </w:p>
    <w:p w:rsidR="00DC68B7" w:rsidRDefault="00DC68B7" w:rsidP="00DC68B7">
      <w:pPr>
        <w:pStyle w:val="Paragrafoelenco"/>
        <w:spacing w:line="256" w:lineRule="auto"/>
        <w:ind w:left="756"/>
        <w:rPr>
          <w:rFonts w:ascii="Times New Roman" w:hAnsi="Times New Roman" w:cs="Times New Roman"/>
          <w:sz w:val="24"/>
          <w:szCs w:val="24"/>
        </w:rPr>
      </w:pPr>
    </w:p>
    <w:p w:rsidR="00DC68B7" w:rsidRDefault="00DC68B7" w:rsidP="00DC68B7">
      <w:pPr>
        <w:pStyle w:val="Paragrafoelenco"/>
        <w:spacing w:line="256" w:lineRule="auto"/>
        <w:ind w:left="756"/>
        <w:rPr>
          <w:rFonts w:ascii="Times New Roman" w:hAnsi="Times New Roman" w:cs="Times New Roman"/>
          <w:sz w:val="24"/>
          <w:szCs w:val="24"/>
        </w:rPr>
      </w:pPr>
    </w:p>
    <w:p w:rsidR="004C2579" w:rsidRDefault="004C2579" w:rsidP="00DF574A">
      <w:pPr>
        <w:pStyle w:val="Paragrafoelenco"/>
        <w:numPr>
          <w:ilvl w:val="0"/>
          <w:numId w:val="10"/>
        </w:numPr>
        <w:spacing w:line="256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lastRenderedPageBreak/>
        <w:t>Storni e Delibere economiche</w:t>
      </w:r>
    </w:p>
    <w:p w:rsidR="00DC68B7" w:rsidRDefault="004C2579" w:rsidP="004C2579">
      <w:p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C68B7">
        <w:rPr>
          <w:rFonts w:ascii="Times New Roman" w:hAnsi="Times New Roman" w:cs="Times New Roman"/>
          <w:sz w:val="24"/>
          <w:szCs w:val="24"/>
        </w:rPr>
        <w:t>l Consiglio Direttivo:</w:t>
      </w:r>
    </w:p>
    <w:p w:rsidR="004C2579" w:rsidRDefault="00DC68B7" w:rsidP="004C2579">
      <w:p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579">
        <w:rPr>
          <w:rFonts w:ascii="Times New Roman" w:hAnsi="Times New Roman" w:cs="Times New Roman"/>
          <w:sz w:val="24"/>
          <w:szCs w:val="24"/>
        </w:rPr>
        <w:t>atto del reintegro del Capitolo U-1-02-003 Onorificenze agli iscritti con i fondi del Fondo Spese previste con stanziamenti insufficienti, € 200,00</w:t>
      </w:r>
    </w:p>
    <w:p w:rsidR="004C2579" w:rsidRDefault="00DC68B7" w:rsidP="004C2579">
      <w:p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atto</w:t>
      </w:r>
      <w:r w:rsidR="004C2579">
        <w:rPr>
          <w:rFonts w:ascii="Times New Roman" w:hAnsi="Times New Roman" w:cs="Times New Roman"/>
          <w:sz w:val="24"/>
          <w:szCs w:val="24"/>
        </w:rPr>
        <w:t xml:space="preserve"> del reintegro del Capitolo U-1-08-001 “Consulenze” con i fondi del Fondo Spese previste con stanziamenti insufficienti, € 1210,48 </w:t>
      </w:r>
    </w:p>
    <w:p w:rsidR="004C2579" w:rsidRDefault="00DC68B7" w:rsidP="004C2579">
      <w:p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 atto</w:t>
      </w:r>
      <w:r w:rsidR="004C2579">
        <w:rPr>
          <w:rFonts w:ascii="Times New Roman" w:hAnsi="Times New Roman" w:cs="Times New Roman"/>
          <w:sz w:val="24"/>
          <w:szCs w:val="24"/>
        </w:rPr>
        <w:t xml:space="preserve"> dello storno del Capitolo U-1-06-009 “Personale straordinario etc.” per pagamento retribuzione del personale dipendente relative al mese di novembre 2022, € 122,80.</w:t>
      </w:r>
    </w:p>
    <w:p w:rsidR="00DC68B7" w:rsidRDefault="00DC68B7" w:rsidP="00DC68B7">
      <w:p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 atto del</w:t>
      </w:r>
      <w:r w:rsidR="004C2579">
        <w:rPr>
          <w:rFonts w:ascii="Times New Roman" w:hAnsi="Times New Roman" w:cs="Times New Roman"/>
          <w:sz w:val="24"/>
          <w:szCs w:val="24"/>
        </w:rPr>
        <w:t xml:space="preserve"> pagamento fattura elettronica n. 884/PA del 14/12/2022 di Tecsis SRL per monte ore per assistenza pacchetto 6 ore, € 475,80, </w:t>
      </w:r>
    </w:p>
    <w:p w:rsidR="004C2579" w:rsidRPr="00DC68B7" w:rsidRDefault="004C2579" w:rsidP="00DC68B7">
      <w:p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Vista la fattura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Fattura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58/E del 17/11/2022 di Silver Gold Art per la realizzazione di un’altra medaglia d’oro con pergamena e cornice relativa per il dott.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Filippo a causa dello smarrimento, presso la Sala </w:t>
      </w:r>
      <w:proofErr w:type="spellStart"/>
      <w:r>
        <w:rPr>
          <w:rFonts w:ascii="Times New Roman" w:hAnsi="Times New Roman" w:cs="Times New Roman"/>
          <w:sz w:val="24"/>
          <w:szCs w:val="24"/>
        </w:rPr>
        <w:t>Neroni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Fondazione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</w:t>
      </w:r>
      <w:r w:rsidR="00DC68B7">
        <w:rPr>
          <w:rFonts w:ascii="Times New Roman" w:hAnsi="Times New Roman" w:cs="Times New Roman"/>
          <w:sz w:val="24"/>
          <w:szCs w:val="24"/>
        </w:rPr>
        <w:t>sap</w:t>
      </w:r>
      <w:proofErr w:type="spellEnd"/>
      <w:r w:rsidR="00DC68B7">
        <w:rPr>
          <w:rFonts w:ascii="Times New Roman" w:hAnsi="Times New Roman" w:cs="Times New Roman"/>
          <w:sz w:val="24"/>
          <w:szCs w:val="24"/>
        </w:rPr>
        <w:t xml:space="preserve">, di quella a lui destinata </w:t>
      </w:r>
      <w:r w:rsidR="00DC68B7">
        <w:rPr>
          <w:rFonts w:ascii="Times New Roman" w:hAnsi="Times New Roman" w:cs="Times New Roman"/>
          <w:b/>
          <w:sz w:val="24"/>
          <w:szCs w:val="24"/>
        </w:rPr>
        <w:t>il Consiglio delibera</w:t>
      </w:r>
      <w:r w:rsidR="00D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spesa complessiva di € 183,00 </w:t>
      </w:r>
    </w:p>
    <w:p w:rsidR="004C2579" w:rsidRDefault="004C2579" w:rsidP="004C2579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C2579" w:rsidRPr="00DF574A" w:rsidRDefault="004C2579" w:rsidP="00DF574A">
      <w:pPr>
        <w:pStyle w:val="Paragrafoelenco"/>
        <w:numPr>
          <w:ilvl w:val="0"/>
          <w:numId w:val="10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Richieste di patrocinio.</w:t>
      </w:r>
    </w:p>
    <w:p w:rsidR="004C2579" w:rsidRDefault="004C2579" w:rsidP="004C2579">
      <w:pPr>
        <w:tabs>
          <w:tab w:val="left" w:pos="142"/>
        </w:tabs>
        <w:suppressAutoHyphens/>
        <w:spacing w:after="0" w:line="10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Il Consiglio delibera di non concedere il patrocinio ai seguenti eventi: </w:t>
      </w:r>
    </w:p>
    <w:p w:rsidR="004C2579" w:rsidRDefault="004C2579" w:rsidP="004C2579">
      <w:pPr>
        <w:tabs>
          <w:tab w:val="left" w:pos="142"/>
        </w:tabs>
        <w:suppressAutoHyphens/>
        <w:spacing w:after="0" w:line="10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“Diagnostica domiciliare” di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Meding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Group per mancanza del programma del convegno.</w:t>
      </w:r>
    </w:p>
    <w:p w:rsidR="004C2579" w:rsidRDefault="004C2579" w:rsidP="004C2579">
      <w:pPr>
        <w:tabs>
          <w:tab w:val="left" w:pos="142"/>
        </w:tabs>
        <w:suppressAutoHyphens/>
        <w:spacing w:after="0" w:line="10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“Storie di donna di storia” per mancanza dei criteri di accreditamento stabiliti dall' Ordine. 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C2579" w:rsidRPr="00DF574A" w:rsidRDefault="004C2579" w:rsidP="00DF574A">
      <w:pPr>
        <w:pStyle w:val="Paragrafoelenco"/>
        <w:numPr>
          <w:ilvl w:val="0"/>
          <w:numId w:val="10"/>
        </w:numPr>
        <w:tabs>
          <w:tab w:val="left" w:pos="142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Presa d’atto della Determina del Presidente dell’Ordine n. 5 del 22/11/2022 “Revoca della sospensione dall’esercizio della professione medica del dott. </w:t>
      </w:r>
      <w:r w:rsid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 P</w:t>
      </w:r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”.</w:t>
      </w:r>
    </w:p>
    <w:p w:rsidR="004C2579" w:rsidRDefault="004C2579" w:rsidP="00DF574A">
      <w:pPr>
        <w:spacing w:after="0" w:line="240" w:lineRule="auto"/>
        <w:ind w:right="-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direttivo prende atto della Determina Presidenziale n. 5 del 22/11/2022 relativa alla revoca della sospensione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dall’esercizio della professione medica (Albo Medici Chirurghi) del dott. </w:t>
      </w:r>
      <w:r w:rsidR="00DF574A">
        <w:rPr>
          <w:rFonts w:ascii="Times New Roman" w:eastAsia="Times New Roman" w:hAnsi="Times New Roman" w:cs="Times New Roman"/>
          <w:sz w:val="24"/>
          <w:szCs w:val="24"/>
          <w:lang w:eastAsia="it-IT"/>
        </w:rPr>
        <w:t>I 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ad Ascoli Piceno il 12/05/1963 a seguito del provvedimento del G.I.P. del Tribunale di Fermo, dott.ssa </w:t>
      </w:r>
      <w:r w:rsidR="00DF574A">
        <w:rPr>
          <w:rFonts w:ascii="Times New Roman" w:eastAsia="Times New Roman" w:hAnsi="Times New Roman" w:cs="Times New Roman"/>
          <w:sz w:val="24"/>
          <w:szCs w:val="24"/>
          <w:lang w:eastAsia="it-IT"/>
        </w:rPr>
        <w:t>M G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quale con Ordinanza del 17/11/2022 ha revocato la misura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interdittiva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Tribunale del Riesame di Ancona del 07/06/2022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carico del dott. </w:t>
      </w:r>
      <w:r w:rsidR="00DF574A">
        <w:rPr>
          <w:rFonts w:ascii="Times New Roman" w:eastAsia="Times New Roman" w:hAnsi="Times New Roman" w:cs="Times New Roman"/>
          <w:sz w:val="24"/>
          <w:szCs w:val="24"/>
          <w:lang w:eastAsia="it-IT"/>
        </w:rPr>
        <w:t>I P.</w:t>
      </w:r>
    </w:p>
    <w:p w:rsidR="00DF574A" w:rsidRDefault="00DF574A" w:rsidP="00DF574A">
      <w:pPr>
        <w:spacing w:after="0" w:line="240" w:lineRule="auto"/>
        <w:ind w:right="-569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2579" w:rsidRPr="00DF574A" w:rsidRDefault="004C2579" w:rsidP="00DF574A">
      <w:pPr>
        <w:pStyle w:val="Paragrafoelenco"/>
        <w:numPr>
          <w:ilvl w:val="0"/>
          <w:numId w:val="12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Restituzioni delle chiavi della Sede dell’Ordine da parte del dott. Giorgio Re, dimissionario dalla carica di Tesoriere dell’Ordine dal 31/08/2022.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direttivo prende atto della restituzione delle chiavi della sede dell’Ordine da parte del dott. Giorgio Re ex Tesoriere dell’Ordine.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C2579" w:rsidRPr="00DF574A" w:rsidRDefault="004C2579" w:rsidP="00DF574A">
      <w:pPr>
        <w:pStyle w:val="Paragrafoelenco"/>
        <w:numPr>
          <w:ilvl w:val="0"/>
          <w:numId w:val="12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Consegna delle chiavi della Sede dell’Ordine al nuovo Tesoriere, dott. Tiziano Palma.</w:t>
      </w:r>
      <w:r w:rsidRPr="00DF574A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Direttivo prende atto della consegna delle chiavi dell’ex Tesoriere dott. Giorgio Re al nuovo Tesoriere dott. Tiziano Palma.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C2579" w:rsidRPr="00DF574A" w:rsidRDefault="004C2579" w:rsidP="00DF574A">
      <w:pPr>
        <w:pStyle w:val="Paragrafoelenco"/>
        <w:numPr>
          <w:ilvl w:val="0"/>
          <w:numId w:val="12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Domanda di inserimento nell’Elenco degli Psicoterapeuti ex L. 56/89 della dott.ssa Isabella </w:t>
      </w:r>
      <w:proofErr w:type="spellStart"/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Egidi</w:t>
      </w:r>
      <w:proofErr w:type="spellEnd"/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</w:t>
      </w:r>
    </w:p>
    <w:p w:rsidR="004C2579" w:rsidRPr="00DF574A" w:rsidRDefault="004C2579" w:rsidP="004C2579">
      <w:pPr>
        <w:spacing w:line="256" w:lineRule="auto"/>
        <w:ind w:left="360" w:right="-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Consiglio Delibera</w:t>
      </w:r>
      <w:r>
        <w:rPr>
          <w:rFonts w:ascii="Times New Roman" w:hAnsi="Times New Roman" w:cs="Times New Roman"/>
          <w:sz w:val="24"/>
          <w:szCs w:val="24"/>
        </w:rPr>
        <w:t xml:space="preserve"> l’inserimento della dott.ssa Isabella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Egidi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nell’elenco degli Psicoterapeuti</w:t>
      </w:r>
      <w:r>
        <w:rPr>
          <w:rFonts w:ascii="Times New Roman" w:hAnsi="Times New Roman" w:cs="Times New Roman"/>
        </w:rPr>
        <w:t>.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2579" w:rsidRPr="00DF574A" w:rsidRDefault="004C2579" w:rsidP="00DF574A">
      <w:pPr>
        <w:pStyle w:val="Paragrafoelenco"/>
        <w:numPr>
          <w:ilvl w:val="0"/>
          <w:numId w:val="12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Presa d’atto dello smarrimento, presso l’Auditorium </w:t>
      </w:r>
      <w:proofErr w:type="spellStart"/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Neroni</w:t>
      </w:r>
      <w:proofErr w:type="spellEnd"/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della Fondazione </w:t>
      </w:r>
      <w:proofErr w:type="spellStart"/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Carisap</w:t>
      </w:r>
      <w:proofErr w:type="spellEnd"/>
      <w:r w:rsidRPr="00DF574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, di una medaglia d’oro con annessa pergamena e cornice.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prende atto dello smarrimento presso l’Auditorium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Neroni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della Fondazione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Carisap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, di una medaglia d’oro con annessa pergamena e cornice.</w:t>
      </w:r>
    </w:p>
    <w:p w:rsidR="004C2579" w:rsidRDefault="004C2579" w:rsidP="004C257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2579" w:rsidRDefault="004C2579" w:rsidP="004C257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C2579" w:rsidRDefault="004C2579" w:rsidP="00602FD7">
      <w:pPr>
        <w:pStyle w:val="Paragrafoelenco"/>
        <w:numPr>
          <w:ilvl w:val="0"/>
          <w:numId w:val="13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Enpam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: aggiornamenti sulla situazione e attività dell’Ente.</w:t>
      </w:r>
    </w:p>
    <w:p w:rsidR="004C2579" w:rsidRDefault="004C2579" w:rsidP="004C257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dott. Benfatti riferisce al consiglio sull’argomento “quota A” dell’ENPAM in sede di consiglio nazionale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Enpam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4C2579" w:rsidRDefault="004C2579" w:rsidP="004C257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C2579" w:rsidRDefault="004C2579" w:rsidP="00602FD7">
      <w:pPr>
        <w:pStyle w:val="Paragrafoelenco"/>
        <w:numPr>
          <w:ilvl w:val="0"/>
          <w:numId w:val="13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Varie ed eventuali. 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dott.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Pagnoni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propone la organizzazione di eventi formativi ECM congiunti tra medici e odontoiatri.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-Il Consiglio delibera di nominare il dott. Danilo Del Medico qual terzo arbitro nella controversia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Sig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F40BC8">
        <w:rPr>
          <w:rFonts w:ascii="Times New Roman" w:eastAsia="Times New Roman" w:hAnsi="Times New Roman" w:cs="Times New Roman"/>
          <w:sz w:val="24"/>
          <w:szCs w:val="20"/>
          <w:lang w:eastAsia="it-IT"/>
        </w:rPr>
        <w:t>PDM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/Generali Ass.ni Spa per il sinistro n. T19/2020/100009 del 24/08/2020 in base ai criteri stabiliti.</w:t>
      </w:r>
    </w:p>
    <w:p w:rsidR="004C2579" w:rsidRDefault="004C2579" w:rsidP="004C2579">
      <w:pPr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- Il Consiglio prende atto della Comunicazione n. 214 della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Fnomceo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con la quale la stessa comunica agli OMCeO d’Italia che l’ANAC ha chiarito che rispetto all’adozione del PIAO gli Ordini professionali sono esclusi.</w:t>
      </w:r>
    </w:p>
    <w:p w:rsidR="004C2579" w:rsidRDefault="004C2579" w:rsidP="004C2579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C2579" w:rsidRDefault="004C2579" w:rsidP="00DF574A">
      <w:pPr>
        <w:pStyle w:val="Corpodeltesto22"/>
        <w:tabs>
          <w:tab w:val="left" w:pos="142"/>
        </w:tabs>
        <w:spacing w:after="0" w:line="100" w:lineRule="atLeast"/>
        <w:ind w:right="-143"/>
        <w:jc w:val="both"/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B22425" w:rsidRDefault="00B22425"/>
    <w:sectPr w:rsidR="00B22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D27D7"/>
    <w:multiLevelType w:val="hybridMultilevel"/>
    <w:tmpl w:val="F6363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4CF"/>
    <w:multiLevelType w:val="hybridMultilevel"/>
    <w:tmpl w:val="03FE99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505FB"/>
    <w:multiLevelType w:val="hybridMultilevel"/>
    <w:tmpl w:val="605E50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33A80"/>
    <w:multiLevelType w:val="hybridMultilevel"/>
    <w:tmpl w:val="6C9613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EA7DA3"/>
    <w:multiLevelType w:val="hybridMultilevel"/>
    <w:tmpl w:val="ED660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6556"/>
    <w:multiLevelType w:val="hybridMultilevel"/>
    <w:tmpl w:val="3E64DBE4"/>
    <w:lvl w:ilvl="0" w:tplc="F154E658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9F45E1"/>
    <w:multiLevelType w:val="hybridMultilevel"/>
    <w:tmpl w:val="3B9403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03CDB"/>
    <w:multiLevelType w:val="hybridMultilevel"/>
    <w:tmpl w:val="5C32821C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C4A82"/>
    <w:multiLevelType w:val="hybridMultilevel"/>
    <w:tmpl w:val="49D86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AA3046"/>
    <w:multiLevelType w:val="hybridMultilevel"/>
    <w:tmpl w:val="F8C8C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32"/>
    <w:rsid w:val="000D1C98"/>
    <w:rsid w:val="00252C32"/>
    <w:rsid w:val="004C2579"/>
    <w:rsid w:val="00602FD7"/>
    <w:rsid w:val="00B22425"/>
    <w:rsid w:val="00DC68B7"/>
    <w:rsid w:val="00DF574A"/>
    <w:rsid w:val="00F40BC8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38D9-1646-4C7E-BB9C-9DF6809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579"/>
    <w:pPr>
      <w:spacing w:line="252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C2579"/>
    <w:pPr>
      <w:keepNext/>
      <w:spacing w:after="0" w:line="240" w:lineRule="auto"/>
      <w:ind w:left="360" w:right="-568"/>
      <w:jc w:val="both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C2579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2579"/>
    <w:pPr>
      <w:ind w:left="720"/>
      <w:contextualSpacing/>
    </w:pPr>
  </w:style>
  <w:style w:type="paragraph" w:customStyle="1" w:styleId="Predefinito">
    <w:name w:val="Predefinito"/>
    <w:rsid w:val="004C2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Corpodeltesto22">
    <w:name w:val="Corpo del testo 22"/>
    <w:basedOn w:val="Normale"/>
    <w:rsid w:val="004C2579"/>
    <w:pPr>
      <w:suppressAutoHyphens/>
      <w:spacing w:after="120" w:line="480" w:lineRule="auto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8</cp:revision>
  <dcterms:created xsi:type="dcterms:W3CDTF">2023-07-07T10:11:00Z</dcterms:created>
  <dcterms:modified xsi:type="dcterms:W3CDTF">2023-07-07T10:27:00Z</dcterms:modified>
</cp:coreProperties>
</file>